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A4E" w:rsidRDefault="003F2A4E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F2A4E" w:rsidRDefault="003F2A4E">
      <w:pPr>
        <w:pStyle w:val="ConsPlusNormal"/>
        <w:jc w:val="both"/>
        <w:outlineLvl w:val="0"/>
      </w:pPr>
    </w:p>
    <w:p w:rsidR="003F2A4E" w:rsidRDefault="003F2A4E">
      <w:pPr>
        <w:pStyle w:val="ConsPlusTitle"/>
        <w:jc w:val="center"/>
      </w:pPr>
      <w:r>
        <w:t>СВЕРДЛОВСКИЙ ОБЛАСТНОЙ СУД</w:t>
      </w:r>
    </w:p>
    <w:p w:rsidR="003F2A4E" w:rsidRDefault="003F2A4E">
      <w:pPr>
        <w:pStyle w:val="ConsPlusTitle"/>
        <w:jc w:val="center"/>
      </w:pPr>
    </w:p>
    <w:p w:rsidR="003F2A4E" w:rsidRDefault="003F2A4E">
      <w:pPr>
        <w:pStyle w:val="ConsPlusTitle"/>
        <w:jc w:val="center"/>
      </w:pPr>
      <w:r>
        <w:t>АПЕЛЛЯЦИОННОЕ ОПРЕДЕЛЕНИЕ</w:t>
      </w:r>
    </w:p>
    <w:p w:rsidR="003F2A4E" w:rsidRDefault="003F2A4E">
      <w:pPr>
        <w:pStyle w:val="ConsPlusTitle"/>
        <w:jc w:val="center"/>
      </w:pPr>
      <w:r>
        <w:t>от 21 июля 2017 г. по делу N 33-12003/2017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</w:pPr>
      <w:r>
        <w:t>Судья Лукичева Л.В.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ind w:firstLine="540"/>
        <w:jc w:val="both"/>
      </w:pPr>
      <w:r>
        <w:t>Судебная коллегия по гражданским делам Свердловского областного суда в составе: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председательствующего Лимоновой Л.Ф.,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судей Деменевой Л.С.,</w:t>
      </w:r>
    </w:p>
    <w:p w:rsidR="003F2A4E" w:rsidRDefault="003F2A4E">
      <w:pPr>
        <w:pStyle w:val="ConsPlusNormal"/>
        <w:spacing w:before="220"/>
        <w:ind w:firstLine="540"/>
        <w:jc w:val="both"/>
      </w:pPr>
      <w:proofErr w:type="spellStart"/>
      <w:r>
        <w:t>Кайгородовой</w:t>
      </w:r>
      <w:proofErr w:type="spellEnd"/>
      <w:r>
        <w:t xml:space="preserve"> Е.В.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при секретаре Ш., рассмотрела в открытом судебном заседании в порядке апелляционного производства гражданское дело по иску К. к Региональному фонду содействия капитальному ремонту общего имущества в многоквартирных домах Свердловской области о признании действий </w:t>
      </w:r>
      <w:proofErr w:type="gramStart"/>
      <w:r>
        <w:t>незаконными</w:t>
      </w:r>
      <w:proofErr w:type="gramEnd"/>
      <w:r>
        <w:t>,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по апелляционной жалобе истца на решение Октябрьского районного суда г. Екатеринбурга от 05.07.2017.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Заслушав доклад судьи Лимоновой Л.Ф., объяснения истца К., представителя третьего лица ООО "УК "СТАТ-ЭНКОМ" - &lt;...&gt;6, представителя ответчика - &lt;...&gt;8, судебная коллегия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jc w:val="center"/>
      </w:pPr>
      <w:r>
        <w:t>установила: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ind w:firstLine="540"/>
        <w:jc w:val="both"/>
      </w:pPr>
      <w:r>
        <w:t xml:space="preserve">Истец К. обратился в суд с указанным иском, в котором, с учетом уточнения исковых требований, просил признать действия Регионального фонда содействия капитальному ремонту общего имущества в многоквартирных домах Свердловской области по выставлению квитанций на оплату взносов на капитальный ремонт по квартирам N и N </w:t>
      </w:r>
      <w:proofErr w:type="gramStart"/>
      <w:r>
        <w:t>в</w:t>
      </w:r>
      <w:proofErr w:type="gramEnd"/>
      <w:r>
        <w:t xml:space="preserve"> &lt;...&gt; в &lt;...&gt;, незаконными.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В обоснование иска указано, что истец является собственником указанных квартир, многоквартирный дом состоит из двух секций, одна из которых - 19-этажная - была введена в эксплуатацию 28.02.2014, а 10-этажная секция, в которой проживает истец, - введена в эксплуатацию 10.09.2014. При этом номер дома единый, секции на корпуса не делятся, существует единая (сквозная) нумерация всех квартир. Поскольку 10-этажная секция была введена в эксплуатацию после утверждения региональной программы капитального ремонта, то обязанность по уплате взносов на капитальный ремонт у истца возникнет по истечении 36 месяцев с месяца, следующего за месяцем, в котором был официально опубликован нормативный акт, то есть с 01.09.2018. Однако, ответчик </w:t>
      </w:r>
      <w:proofErr w:type="gramStart"/>
      <w:r>
        <w:t>выставляет квитанции на оплату взносов на капитальный ремонт начиная</w:t>
      </w:r>
      <w:proofErr w:type="gramEnd"/>
      <w:r>
        <w:t xml:space="preserve"> с 01.03.2016.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Судом к участию в деле в качестве 3-х лиц были привлечены ООО "ЕРЦ", администрация г. Екатеринбурга, &lt;...&gt;7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Решением Октябрьского районного суда г. Екатеринбурга от 05.05.2017 в удовлетворении исковых требований К. отказано.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Не согласившись с данным решением, истец обратился с апелляционной жалобой, в которой просит решение суда отменить и принять по делу новое решение об удовлетворении иска. Указывает, что обе секции дома имеют отдельные технические паспорта и отдельные </w:t>
      </w:r>
      <w:r>
        <w:lastRenderedPageBreak/>
        <w:t xml:space="preserve">разрешения на ввод их в эксплуатацию, в которых указаны этапы строительства дома. Полагает, что 10-этажная секция является самостоятельным объектом капитального строительства, была введена в эксплуатацию после утверждения Региональной программы капитального ремонта, в </w:t>
      </w:r>
      <w:proofErr w:type="gramStart"/>
      <w:r>
        <w:t>связи</w:t>
      </w:r>
      <w:proofErr w:type="gramEnd"/>
      <w:r>
        <w:t xml:space="preserve"> с чем подлежат применению нормы </w:t>
      </w:r>
      <w:hyperlink r:id="rId6" w:history="1">
        <w:r>
          <w:rPr>
            <w:color w:val="0000FF"/>
          </w:rPr>
          <w:t>ч. 5.1 ст. 170</w:t>
        </w:r>
      </w:hyperlink>
      <w:r>
        <w:t xml:space="preserve"> ЖК РФ.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Истец К. в судебном заседании суда апелляционной инстанции доводы апелляционной жалобы поддержал в полном объеме.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Представитель третьего лица - ООО "УК "СТАТ-ЭНКОМ", действующий по доверенности, доводы апелляционной жалобы полагал обоснованными.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Представитель ответчика Регионального фонда содействия капитальному ремонту общего имущества многоквартирных домов Свердловской области &lt;...&gt;8, </w:t>
      </w:r>
      <w:proofErr w:type="gramStart"/>
      <w:r>
        <w:t>действующая</w:t>
      </w:r>
      <w:proofErr w:type="gramEnd"/>
      <w:r>
        <w:t xml:space="preserve"> по доверенности, поддержала доводы, изложенные в отзыве на апелляционную жалобу, просила решение суда оставить без изменения, а апелляционную жалобу истца без удовлетворения.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Иные лица в судебное заседание не явились, своевременно извещены о времени и месте судебного заседания в срок, достаточный для обеспечения явки и подготовки к судебному заседанию, не сообщили суду о причинах неявки, не ходатайствовали об отложении судебного заседания, не представили доказательств уважительности причин неявки. Информация о рассмотрении дела размещена также на сайте Свердловского областного суда. С учетом изложенного, руководствуясь </w:t>
      </w:r>
      <w:hyperlink r:id="rId7" w:history="1">
        <w:r>
          <w:rPr>
            <w:color w:val="0000FF"/>
          </w:rPr>
          <w:t>ст. 167</w:t>
        </w:r>
      </w:hyperlink>
      <w:r>
        <w:t xml:space="preserve"> Гражданского процессуального кодекса Российской Федерации, судебная коллегия определила рассмотреть дело при данной явке.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ind w:firstLine="540"/>
        <w:jc w:val="both"/>
      </w:pPr>
      <w:r>
        <w:t xml:space="preserve">Заслушав пояснения явившихся лиц, обсудив доводы жалобы, изучив материалы дела, проверив законность и обоснованность судебного решения в пределах доводов апелляционной жалобы в соответствии с </w:t>
      </w:r>
      <w:hyperlink r:id="rId8" w:history="1">
        <w:r>
          <w:rPr>
            <w:color w:val="0000FF"/>
          </w:rPr>
          <w:t>ч. 1 ст. 327.1</w:t>
        </w:r>
      </w:hyperlink>
      <w:r>
        <w:t xml:space="preserve"> Гражданского процессуального кодекса Российской Федерации, судебная коллегия не усматривает оснований для его отмены.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Материалами дела подтверждается, что истец К. является собственником &lt;...&gt;, а также совместным с &lt;...&gt;7 собственником &lt;...&gt;, </w:t>
      </w:r>
      <w:proofErr w:type="gramStart"/>
      <w:r>
        <w:t>расположенных</w:t>
      </w:r>
      <w:proofErr w:type="gramEnd"/>
      <w:r>
        <w:t xml:space="preserve"> в 10-этажной секции многоквартирного дома по адресу: &lt;...&gt;, что подтверждается свидетельствами государственной регистрации права от 22.12.2014 и 10.12.2014.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Из материалов дела также следует, что указанный многоквартирный дом возводился двумя этапами (очередями), 19-этажная жилая секция многоквартирного дома введена в эксплуатацию 28.02.2014, 10-этажная секция этого же многоквартирного дома, в которой расположены квартиры истца, введена в эксплуатацию 10.09.2014.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Судом первой инстанции, на основании представленных в материалы дела доказательств, установлено, что многоквартирный &lt;...&gt; в &lt;...&gt; состоящий из 19-ти и 10-этажных секций, является единым объектом, имеет один адрес без деления на корпуса и литеры.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ч. 1 ст. 39</w:t>
        </w:r>
      </w:hyperlink>
      <w:r>
        <w:t xml:space="preserve">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</w:t>
      </w:r>
    </w:p>
    <w:p w:rsidR="003F2A4E" w:rsidRDefault="003F2A4E">
      <w:pPr>
        <w:pStyle w:val="ConsPlusNormal"/>
        <w:spacing w:before="220"/>
        <w:ind w:firstLine="540"/>
        <w:jc w:val="both"/>
      </w:pPr>
      <w:proofErr w:type="gramStart"/>
      <w:r>
        <w:t xml:space="preserve">Согласно </w:t>
      </w:r>
      <w:hyperlink r:id="rId10" w:history="1">
        <w:r>
          <w:rPr>
            <w:color w:val="0000FF"/>
          </w:rPr>
          <w:t>ч. 3 ст. 169</w:t>
        </w:r>
      </w:hyperlink>
      <w:r>
        <w:t xml:space="preserve"> Жилищного кодекса Российской Федерации обязанность по уплате взносов на капитальный ремонт возникает у собственников помещений в многоквартирном доме по истечении восьми календарных месяцев, если более ранний срок не установлен законом субъекта Российской Федерации, начиная с месяца, следующего за месяцем, в котором была официально опубликована утвержденная региональная программа капитального ремонта, в которую включен этот многоквартирный дом</w:t>
      </w:r>
      <w:proofErr w:type="gramEnd"/>
      <w:r>
        <w:t xml:space="preserve">, за исключением случая, установленного </w:t>
      </w:r>
      <w:hyperlink r:id="rId11" w:history="1">
        <w:r>
          <w:rPr>
            <w:color w:val="0000FF"/>
          </w:rPr>
          <w:t>частью 5.1 статьи 170</w:t>
        </w:r>
      </w:hyperlink>
      <w:r>
        <w:t xml:space="preserve"> настоящего Кодекса.</w:t>
      </w:r>
    </w:p>
    <w:p w:rsidR="003F2A4E" w:rsidRDefault="003F2A4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F2A4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F2A4E" w:rsidRDefault="003F2A4E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lastRenderedPageBreak/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3F2A4E" w:rsidRDefault="003F2A4E">
            <w:pPr>
              <w:pStyle w:val="ConsPlusNormal"/>
              <w:jc w:val="both"/>
            </w:pPr>
            <w:r>
              <w:rPr>
                <w:color w:val="392C69"/>
              </w:rPr>
              <w:t>В документе, видимо, допущен пропуск текста: исходя из смысла определения, имеется в виду "...ч. ч. 1, 2 статьи 12-1...".</w:t>
            </w:r>
          </w:p>
        </w:tc>
      </w:tr>
    </w:tbl>
    <w:p w:rsidR="003F2A4E" w:rsidRDefault="003F2A4E">
      <w:pPr>
        <w:pStyle w:val="ConsPlusNormal"/>
        <w:spacing w:before="220"/>
        <w:ind w:firstLine="540"/>
        <w:jc w:val="both"/>
      </w:pPr>
      <w:proofErr w:type="gramStart"/>
      <w:r>
        <w:t xml:space="preserve">В силу </w:t>
      </w:r>
      <w:hyperlink r:id="rId12" w:history="1">
        <w:r>
          <w:rPr>
            <w:color w:val="0000FF"/>
          </w:rPr>
          <w:t>ч. ч. 1</w:t>
        </w:r>
      </w:hyperlink>
      <w:r>
        <w:t xml:space="preserve">, </w:t>
      </w:r>
      <w:hyperlink r:id="rId13" w:history="1">
        <w:r>
          <w:rPr>
            <w:color w:val="0000FF"/>
          </w:rPr>
          <w:t>2</w:t>
        </w:r>
      </w:hyperlink>
      <w:r>
        <w:t xml:space="preserve"> *** Закона Свердловской области от 19.12.2013 N 127-ОЗ "Об обеспечении проведения капитального ремонта общего имущества в многоквартирных домах на территории Свердловской области" (принят Законодательным Собранием Свердловской области 17.12.2013) обязанность по уплате взносов на капитальный ремонт возникает у собственников помещений в многоквартирном доме по истечении шести календарных месяцев, начиная с месяца, следующего за месяцем, в котором</w:t>
      </w:r>
      <w:proofErr w:type="gramEnd"/>
      <w:r>
        <w:t xml:space="preserve"> </w:t>
      </w:r>
      <w:proofErr w:type="gramStart"/>
      <w:r>
        <w:t xml:space="preserve">была официально опубликована утвержденная в установленном настоящим </w:t>
      </w:r>
      <w:hyperlink r:id="rId14" w:history="1">
        <w:r>
          <w:rPr>
            <w:color w:val="0000FF"/>
          </w:rPr>
          <w:t>Законом</w:t>
        </w:r>
      </w:hyperlink>
      <w:r>
        <w:t xml:space="preserve"> порядке региональная программа капитального ремонта, в которую включен этот многоквартирный дом, либо по истечении шести календарных месяцев, начиная с месяца, следующего за месяцем, в котором был официально опубликован нормативный правовой акт Правительства Свердловской области, в соответствии с которым этот многоквартирный дом включен в региональную программу капитального ремонта в порядке, предусмотренном </w:t>
      </w:r>
      <w:hyperlink r:id="rId15" w:history="1">
        <w:r>
          <w:rPr>
            <w:color w:val="0000FF"/>
          </w:rPr>
          <w:t>статьей 10</w:t>
        </w:r>
        <w:proofErr w:type="gramEnd"/>
      </w:hyperlink>
      <w:r>
        <w:t xml:space="preserve"> настоящего Закона, за исключением случая, предусмотренного в </w:t>
      </w:r>
      <w:hyperlink r:id="rId16" w:history="1">
        <w:r>
          <w:rPr>
            <w:color w:val="0000FF"/>
          </w:rPr>
          <w:t>части второй настоящей статьи</w:t>
        </w:r>
      </w:hyperlink>
      <w:r>
        <w:t>.</w:t>
      </w:r>
    </w:p>
    <w:p w:rsidR="003F2A4E" w:rsidRDefault="003F2A4E">
      <w:pPr>
        <w:pStyle w:val="ConsPlusNormal"/>
        <w:spacing w:before="220"/>
        <w:ind w:firstLine="540"/>
        <w:jc w:val="both"/>
      </w:pPr>
      <w:proofErr w:type="gramStart"/>
      <w:r>
        <w:t>Обязанность по уплате взносов на капитальный ремонт у собственников помещений в многоквартирном доме,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актуализации, возникает по истечении тридцати шести календарных месяцев, начиная с месяца, следующего за месяцем, в котором был официально опубликован нормативный правовой акт Правительства Свердловской области, в соответствии с которым</w:t>
      </w:r>
      <w:proofErr w:type="gramEnd"/>
      <w:r>
        <w:t xml:space="preserve"> этот многоквартирный дом включен в региональную программу капитального ремонта в порядке, предусмотренном </w:t>
      </w:r>
      <w:hyperlink r:id="rId17" w:history="1">
        <w:r>
          <w:rPr>
            <w:color w:val="0000FF"/>
          </w:rPr>
          <w:t>статьей 10</w:t>
        </w:r>
      </w:hyperlink>
      <w:r>
        <w:t xml:space="preserve"> настоящего Закона.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Региональная </w:t>
      </w:r>
      <w:hyperlink r:id="rId18" w:history="1">
        <w:r>
          <w:rPr>
            <w:color w:val="0000FF"/>
          </w:rPr>
          <w:t>программа</w:t>
        </w:r>
      </w:hyperlink>
      <w:r>
        <w:t xml:space="preserve"> капитального ремонта общего имущества в многоквартирных домах Свердловской области на 2015 - 2044 годы была утверждена высшим исполнительным органом государственной власти субъекта Российской Федерации - постановлением Правительства Свердловской области N 306-ПП от 22.04.2014.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Многоквартирный жилой дом по адресу: &lt;...&gt; полностью был включен в Региональную </w:t>
      </w:r>
      <w:hyperlink r:id="rId19" w:history="1">
        <w:r>
          <w:rPr>
            <w:color w:val="0000FF"/>
          </w:rPr>
          <w:t>программу</w:t>
        </w:r>
      </w:hyperlink>
      <w:r>
        <w:t xml:space="preserve"> капитального ремонта многоквартирных домов на территории Свердловской области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19.08.2015 N 756-ПП.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Указанное </w:t>
      </w:r>
      <w:hyperlink r:id="rId21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19.08.2015 в настоящее время является действующим, никем не оспорено, не признано недействительным в части включения в него 10-этажной секции &lt;...&gt; </w:t>
      </w:r>
      <w:proofErr w:type="gramStart"/>
      <w:r>
        <w:t>в</w:t>
      </w:r>
      <w:proofErr w:type="gramEnd"/>
      <w:r>
        <w:t xml:space="preserve"> &lt;...&gt;, введенной в эксплуатацию &lt;...&gt;.</w:t>
      </w:r>
    </w:p>
    <w:p w:rsidR="003F2A4E" w:rsidRDefault="003F2A4E">
      <w:pPr>
        <w:pStyle w:val="ConsPlusNormal"/>
        <w:spacing w:before="220"/>
        <w:ind w:firstLine="540"/>
        <w:jc w:val="both"/>
      </w:pPr>
      <w:proofErr w:type="gramStart"/>
      <w:r>
        <w:t xml:space="preserve">Установив названные выше обстоятельства, суд первой инстанции, руководствуясь </w:t>
      </w:r>
      <w:hyperlink r:id="rId22" w:history="1">
        <w:r>
          <w:rPr>
            <w:color w:val="0000FF"/>
          </w:rPr>
          <w:t>ч. 1 ст. 39</w:t>
        </w:r>
      </w:hyperlink>
      <w:r>
        <w:t xml:space="preserve">, </w:t>
      </w:r>
      <w:hyperlink r:id="rId23" w:history="1">
        <w:r>
          <w:rPr>
            <w:color w:val="0000FF"/>
          </w:rPr>
          <w:t>ч. 3 ст. 169</w:t>
        </w:r>
      </w:hyperlink>
      <w:r>
        <w:t xml:space="preserve"> Жилищного кодекса Российской Федерации, с учетом норм регионального законодательства, принимая во внимание, что многоквартирный дом по &lt;...&gt; </w:t>
      </w:r>
      <w:hyperlink r:id="rId24" w:history="1">
        <w:r>
          <w:rPr>
            <w:color w:val="0000FF"/>
          </w:rPr>
          <w:t>программы</w:t>
        </w:r>
      </w:hyperlink>
      <w:r>
        <w:t xml:space="preserve"> капитального ремонта общего имущества в многоквартирных домах &lt;...&gt;2 &lt;...&gt;, пришел к правильному выводу об отказе в удовлетворении исковых требований К., указав, что обязанность по уплате взносов на капитальный</w:t>
      </w:r>
      <w:proofErr w:type="gramEnd"/>
      <w:r>
        <w:t xml:space="preserve"> ремонт у истца возникла с 01.03.2016.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Судебная коллегия соглашается с указанными выводами суда первой инстанции, поскольку они основаны на </w:t>
      </w:r>
      <w:proofErr w:type="gramStart"/>
      <w:r>
        <w:t>материалах дела, исследованных по делу доказательствах и их надлежащей оценки и сделаны</w:t>
      </w:r>
      <w:proofErr w:type="gramEnd"/>
      <w:r>
        <w:t xml:space="preserve"> в соответствии с нормами права, подлежащими применению в данном случае.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Судебная коллегия отклоняет довод апелляционной жалобы о том, что 10-этажная секция многоквартирного дома по адресу: &lt;...&gt; является самостоятельным объектом капитального строительства, поскольку материалами дела подтверждается, что секции данного </w:t>
      </w:r>
      <w:r>
        <w:lastRenderedPageBreak/>
        <w:t>многоквартирного дома не являются самостоятельными объектами недвижимости, многоквартирный дом зарегистрирован как единый объект, имеет сквозную нумерацию квартир и общие инженерно-технические коммуникации.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>Вопреки доводам апелляционной жалобы, наличие отдельных технических документов (паспортов) на каждую секцию дома и самостоятельных разрешений на ввод их в эксплуатацию не являются доказательствами того, что каждая секция представляет собой отдельный многоквартирный дом.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Согласно актуальной региональной программы капитального ремонта, </w:t>
      </w:r>
      <w:proofErr w:type="gramStart"/>
      <w:r>
        <w:t>многоквартирный</w:t>
      </w:r>
      <w:proofErr w:type="gramEnd"/>
      <w:r>
        <w:t xml:space="preserve"> &lt;...&gt; включен в программу капитального ремонта в целом.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В апелляционной жалобе ответчик также приводит доводы о том, что при разрешении настоящего спора суду необходимо было руководствоваться </w:t>
      </w:r>
      <w:hyperlink r:id="rId25" w:history="1">
        <w:r>
          <w:rPr>
            <w:color w:val="0000FF"/>
          </w:rPr>
          <w:t>ч. 5.1 ст. 170</w:t>
        </w:r>
      </w:hyperlink>
      <w:r>
        <w:t xml:space="preserve"> ЖК РФ, т.к. важным является тот факт, что 10-этажная секция была введена в эксплуатацию после утверждения Региональной </w:t>
      </w:r>
      <w:hyperlink r:id="rId26" w:history="1">
        <w:r>
          <w:rPr>
            <w:color w:val="0000FF"/>
          </w:rPr>
          <w:t>программы</w:t>
        </w:r>
      </w:hyperlink>
      <w:r>
        <w:t xml:space="preserve"> капитального ремонта.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Ввиду </w:t>
      </w:r>
      <w:proofErr w:type="gramStart"/>
      <w:r>
        <w:t>вышеизложенного</w:t>
      </w:r>
      <w:proofErr w:type="gramEnd"/>
      <w:r>
        <w:t xml:space="preserve"> указанные доводы признаются судебной коллегией несостоятельными.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С учетом указанного судебная коллегия приходит к выводу, что суд первой инстанции правильно разрешил возникший спор, а доводы апелляционной жалобы подлежат отклонению судебной коллегией как несостоятельные, поскольку они не являются основанием для отмены решения в соответствии со </w:t>
      </w:r>
      <w:hyperlink r:id="rId27" w:history="1">
        <w:r>
          <w:rPr>
            <w:color w:val="0000FF"/>
          </w:rPr>
          <w:t>ст. 330</w:t>
        </w:r>
      </w:hyperlink>
      <w:r>
        <w:t xml:space="preserve"> Гражданского процессуального кодекса РФ.</w:t>
      </w:r>
    </w:p>
    <w:p w:rsidR="003F2A4E" w:rsidRDefault="003F2A4E">
      <w:pPr>
        <w:pStyle w:val="ConsPlusNormal"/>
        <w:spacing w:before="220"/>
        <w:ind w:firstLine="540"/>
        <w:jc w:val="both"/>
      </w:pPr>
      <w:r>
        <w:t xml:space="preserve">На основании изложенного, руководствуясь </w:t>
      </w:r>
      <w:hyperlink r:id="rId28" w:history="1">
        <w:r>
          <w:rPr>
            <w:color w:val="0000FF"/>
          </w:rPr>
          <w:t>п. 1 ст. 328</w:t>
        </w:r>
      </w:hyperlink>
      <w:r>
        <w:t xml:space="preserve">, </w:t>
      </w:r>
      <w:hyperlink r:id="rId29" w:history="1">
        <w:r>
          <w:rPr>
            <w:color w:val="0000FF"/>
          </w:rPr>
          <w:t>ст. 329</w:t>
        </w:r>
      </w:hyperlink>
      <w:r>
        <w:t xml:space="preserve"> Гражданского процессуального кодекса Российской Федерации, судебная коллегия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jc w:val="center"/>
      </w:pPr>
      <w:r>
        <w:t>определила: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ind w:firstLine="540"/>
        <w:jc w:val="both"/>
      </w:pPr>
      <w:r>
        <w:t>решение Октябрьского районного суда г. Екатеринбурга от 05.05.2017 оставить без изменения, апелляционную жалобу истца - без удовлетворения.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jc w:val="right"/>
      </w:pPr>
      <w:r>
        <w:t>Председательствующий</w:t>
      </w:r>
    </w:p>
    <w:p w:rsidR="003F2A4E" w:rsidRDefault="003F2A4E">
      <w:pPr>
        <w:pStyle w:val="ConsPlusNormal"/>
        <w:jc w:val="right"/>
      </w:pPr>
      <w:r>
        <w:t>Л.Ф.ЛИМОНОВА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jc w:val="right"/>
      </w:pPr>
      <w:r>
        <w:t>Судьи</w:t>
      </w:r>
    </w:p>
    <w:p w:rsidR="003F2A4E" w:rsidRDefault="003F2A4E">
      <w:pPr>
        <w:pStyle w:val="ConsPlusNormal"/>
        <w:jc w:val="right"/>
      </w:pPr>
      <w:r>
        <w:t>Л.С.ДЕМЕНЕВА</w:t>
      </w:r>
    </w:p>
    <w:p w:rsidR="003F2A4E" w:rsidRDefault="003F2A4E">
      <w:pPr>
        <w:pStyle w:val="ConsPlusNormal"/>
        <w:jc w:val="right"/>
      </w:pPr>
      <w:r>
        <w:t>Е.В.КАЙГОРОДОВА</w:t>
      </w: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jc w:val="both"/>
      </w:pPr>
    </w:p>
    <w:p w:rsidR="003F2A4E" w:rsidRDefault="003F2A4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C0E77" w:rsidRDefault="00BC0E77"/>
    <w:sectPr w:rsidR="00BC0E77" w:rsidSect="009C0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A4E"/>
    <w:rsid w:val="003F2A4E"/>
    <w:rsid w:val="00BC0E77"/>
    <w:rsid w:val="00E7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2A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2A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2A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2A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2A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2A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544C0CD5B93DB9030AAB2C0FA35C6EDFAD1DE969910417258157792962D6757C8A61359Fx2X3E" TargetMode="External"/><Relationship Id="rId13" Type="http://schemas.openxmlformats.org/officeDocument/2006/relationships/hyperlink" Target="consultantplus://offline/ref=1D544C0CD5B93DB9030AB52119CF0264DCA643E46F910C497ED0512E7632D0203CCA6763DE61692D4ACDE2F2x1X6E" TargetMode="External"/><Relationship Id="rId18" Type="http://schemas.openxmlformats.org/officeDocument/2006/relationships/hyperlink" Target="consultantplus://offline/ref=1D544C0CD5B93DB9030AB52119CF0264DCA643E46F910F4479D7512E7632D0203CCA6763DE61692E43C8E2FEx1X2E" TargetMode="External"/><Relationship Id="rId26" Type="http://schemas.openxmlformats.org/officeDocument/2006/relationships/hyperlink" Target="consultantplus://offline/ref=1D544C0CD5B93DB9030AB52119CF0264DCA643E46F910F4479D7512E7632D0203CCA6763DE61692E43C8E2FEx1X2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D544C0CD5B93DB9030AB52119CF0264DCA643E46F9D0A4271D1512E7632D0203CxCXAE" TargetMode="External"/><Relationship Id="rId7" Type="http://schemas.openxmlformats.org/officeDocument/2006/relationships/hyperlink" Target="consultantplus://offline/ref=1D544C0CD5B93DB9030AAB2C0FA35C6EDFAD1DE969910417258157792962D6757C8A61369D256C2Dx4XDE" TargetMode="External"/><Relationship Id="rId12" Type="http://schemas.openxmlformats.org/officeDocument/2006/relationships/hyperlink" Target="consultantplus://offline/ref=1D544C0CD5B93DB9030AB52119CF0264DCA643E46F910C497ED0512E7632D0203CCA6763DE61692D4ACDE2F2x1X1E" TargetMode="External"/><Relationship Id="rId17" Type="http://schemas.openxmlformats.org/officeDocument/2006/relationships/hyperlink" Target="consultantplus://offline/ref=1D544C0CD5B93DB9030AB52119CF0264DCA643E46F910C497ED0512E7632D0203CCA6763DE61692D4ACDE0FAx1XAE" TargetMode="External"/><Relationship Id="rId25" Type="http://schemas.openxmlformats.org/officeDocument/2006/relationships/hyperlink" Target="consultantplus://offline/ref=1D544C0CD5B93DB9030AAB2C0FA35C6EDFAD1DE0679B0417258157792962D6757C8A61369D24612Fx4XA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D544C0CD5B93DB9030AB52119CF0264DCA643E46F910C497ED0512E7632D0203CCA6763DE61692D4ACDE2F2x1X6E" TargetMode="External"/><Relationship Id="rId20" Type="http://schemas.openxmlformats.org/officeDocument/2006/relationships/hyperlink" Target="consultantplus://offline/ref=1D544C0CD5B93DB9030AB52119CF0264DCA643E46F9D0A4271D1512E7632D0203CxCXAE" TargetMode="External"/><Relationship Id="rId29" Type="http://schemas.openxmlformats.org/officeDocument/2006/relationships/hyperlink" Target="consultantplus://offline/ref=1D544C0CD5B93DB9030AAB2C0FA35C6EDFAD1DE969910417258157792962D6757C8A613599x2X7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D544C0CD5B93DB9030AAB2C0FA35C6EDFAD1DE0679B0417258157792962D6757C8A61369D24612Fx4XAE" TargetMode="External"/><Relationship Id="rId11" Type="http://schemas.openxmlformats.org/officeDocument/2006/relationships/hyperlink" Target="consultantplus://offline/ref=1D544C0CD5B93DB9030AAB2C0FA35C6EDFAD1DE0679B0417258157792962D6757C8A61369D24612Fx4XAE" TargetMode="External"/><Relationship Id="rId24" Type="http://schemas.openxmlformats.org/officeDocument/2006/relationships/hyperlink" Target="consultantplus://offline/ref=1D544C0CD5B93DB9030AB52119CF0264DCA643E46F910F4479D7512E7632D0203CCA6763DE61692E43C8E2FEx1X2E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1D544C0CD5B93DB9030AB52119CF0264DCA643E46F910C497ED0512E7632D0203CCA6763DE61692D4ACDE0FAx1XAE" TargetMode="External"/><Relationship Id="rId23" Type="http://schemas.openxmlformats.org/officeDocument/2006/relationships/hyperlink" Target="consultantplus://offline/ref=1D544C0CD5B93DB9030AAB2C0FA35C6EDFAD1DE0679B0417258157792962D6757C8A61369D24612Ex4X9E" TargetMode="External"/><Relationship Id="rId28" Type="http://schemas.openxmlformats.org/officeDocument/2006/relationships/hyperlink" Target="consultantplus://offline/ref=1D544C0CD5B93DB9030AAB2C0FA35C6EDFAD1DE969910417258157792962D6757C8A61359Ex2XDE" TargetMode="External"/><Relationship Id="rId10" Type="http://schemas.openxmlformats.org/officeDocument/2006/relationships/hyperlink" Target="consultantplus://offline/ref=1D544C0CD5B93DB9030AAB2C0FA35C6EDFAD1DE0679B0417258157792962D6757C8A61369D24612Ex4X9E" TargetMode="External"/><Relationship Id="rId19" Type="http://schemas.openxmlformats.org/officeDocument/2006/relationships/hyperlink" Target="consultantplus://offline/ref=1D544C0CD5B93DB9030AB52119CF0264DCA643E46F910F4479D7512E7632D0203CCA6763DE61692E43C8E2FEx1X2E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544C0CD5B93DB9030AAB2C0FA35C6EDFAD1DE0679B0417258157792962D6757C8A61369D256624x4XFE" TargetMode="External"/><Relationship Id="rId14" Type="http://schemas.openxmlformats.org/officeDocument/2006/relationships/hyperlink" Target="consultantplus://offline/ref=1D544C0CD5B93DB9030AB52119CF0264DCA643E46F910C497ED0512E7632D0203CxCXAE" TargetMode="External"/><Relationship Id="rId22" Type="http://schemas.openxmlformats.org/officeDocument/2006/relationships/hyperlink" Target="consultantplus://offline/ref=1D544C0CD5B93DB9030AAB2C0FA35C6EDFAD1DE0679B0417258157792962D6757C8A61369D256624x4XFE" TargetMode="External"/><Relationship Id="rId27" Type="http://schemas.openxmlformats.org/officeDocument/2006/relationships/hyperlink" Target="consultantplus://offline/ref=1D544C0CD5B93DB9030AAB2C0FA35C6EDFAD1DE969910417258157792962D6757C8A613598x2X1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2158</Words>
  <Characters>12306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shustachinskaya</dc:creator>
  <cp:lastModifiedBy>Заволжина Евгения Валентиновна</cp:lastModifiedBy>
  <cp:revision>2</cp:revision>
  <dcterms:created xsi:type="dcterms:W3CDTF">2018-03-14T08:12:00Z</dcterms:created>
  <dcterms:modified xsi:type="dcterms:W3CDTF">2018-03-14T08:12:00Z</dcterms:modified>
</cp:coreProperties>
</file>