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ind w:firstLine="3415" w:left="0" w:right="0"/>
        <w:jc w:val="both"/>
      </w:pPr>
      <w:r>
        <w:rPr>
          <w:rFonts w:ascii="Times New Roman" w:cs="Times New Roman" w:hAnsi="Times New Roman"/>
          <w:color w:val="000000"/>
          <w:sz w:val="24"/>
          <w:szCs w:val="24"/>
        </w:rPr>
        <w:t xml:space="preserve">В </w:t>
      </w:r>
      <w:r>
        <w:rPr>
          <w:rFonts w:ascii="Times New Roman" w:cs="Times New Roman" w:hAnsi="Times New Roman"/>
          <w:color w:val="000000"/>
          <w:sz w:val="24"/>
          <w:szCs w:val="24"/>
          <w:lang w:val="en-US"/>
        </w:rPr>
        <w:t>N</w:t>
      </w:r>
      <w:r>
        <w:rPr>
          <w:rFonts w:ascii="Times New Roman" w:cs="Times New Roman" w:hAnsi="Times New Roman"/>
          <w:color w:val="000000"/>
          <w:sz w:val="24"/>
          <w:szCs w:val="24"/>
        </w:rPr>
        <w:t>ский городской суд</w:t>
      </w:r>
    </w:p>
    <w:p>
      <w:pPr>
        <w:pStyle w:val="style0"/>
        <w:ind w:firstLine="3415" w:left="0" w:right="0"/>
        <w:jc w:val="both"/>
      </w:pPr>
      <w:r>
        <w:rPr>
          <w:rFonts w:ascii="Times New Roman" w:cs="Times New Roman" w:hAnsi="Times New Roman"/>
          <w:color w:val="000000"/>
          <w:sz w:val="24"/>
          <w:szCs w:val="24"/>
        </w:rPr>
      </w:r>
    </w:p>
    <w:p>
      <w:pPr>
        <w:pStyle w:val="style0"/>
        <w:ind w:firstLine="3415" w:left="0" w:right="0"/>
        <w:jc w:val="both"/>
      </w:pPr>
      <w:r>
        <w:rPr>
          <w:rFonts w:ascii="Times New Roman" w:cs="Times New Roman" w:hAnsi="Times New Roman"/>
          <w:color w:val="000000"/>
          <w:sz w:val="24"/>
          <w:szCs w:val="24"/>
        </w:rPr>
        <w:t>ИСТЕЦ: Х</w:t>
      </w:r>
    </w:p>
    <w:p>
      <w:pPr>
        <w:pStyle w:val="style0"/>
        <w:ind w:firstLine="3415" w:left="0" w:right="0"/>
        <w:jc w:val="both"/>
      </w:pPr>
      <w:r>
        <w:rPr>
          <w:rFonts w:ascii="Times New Roman" w:cs="Times New Roman" w:hAnsi="Times New Roman"/>
          <w:color w:val="000000"/>
          <w:sz w:val="24"/>
          <w:szCs w:val="24"/>
        </w:rPr>
      </w:r>
    </w:p>
    <w:p>
      <w:pPr>
        <w:pStyle w:val="style0"/>
        <w:ind w:firstLine="3415" w:left="0" w:right="0"/>
        <w:jc w:val="both"/>
      </w:pPr>
      <w:r>
        <w:rPr>
          <w:rFonts w:ascii="Times New Roman" w:cs="Times New Roman" w:hAnsi="Times New Roman"/>
          <w:color w:val="000000"/>
          <w:sz w:val="24"/>
          <w:szCs w:val="24"/>
        </w:rPr>
        <w:t>ОТВЕТЧИК: УК</w:t>
      </w:r>
    </w:p>
    <w:p>
      <w:pPr>
        <w:pStyle w:val="style0"/>
        <w:ind w:firstLine="3415" w:left="0" w:right="0"/>
        <w:jc w:val="both"/>
      </w:pPr>
      <w:r>
        <w:rPr>
          <w:rFonts w:ascii="Times New Roman" w:cs="Times New Roman" w:hAnsi="Times New Roman"/>
          <w:color w:val="000000"/>
          <w:sz w:val="24"/>
          <w:szCs w:val="24"/>
        </w:rPr>
      </w:r>
    </w:p>
    <w:p>
      <w:pPr>
        <w:pStyle w:val="style0"/>
        <w:ind w:firstLine="3415" w:left="0" w:right="0"/>
        <w:jc w:val="both"/>
      </w:pPr>
      <w:r>
        <w:rPr>
          <w:rFonts w:ascii="Times New Roman" w:cs="Times New Roman" w:hAnsi="Times New Roman"/>
          <w:color w:val="000000"/>
          <w:sz w:val="24"/>
          <w:szCs w:val="24"/>
        </w:rPr>
        <w:t xml:space="preserve">3-е ЛИЦО:  </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расчётный центр</w:t>
      </w:r>
    </w:p>
    <w:p>
      <w:pPr>
        <w:pStyle w:val="style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r>
    </w:p>
    <w:p>
      <w:pPr>
        <w:pStyle w:val="style0"/>
        <w:ind w:firstLine="4519" w:left="0" w:right="0"/>
        <w:jc w:val="both"/>
      </w:pPr>
      <w:r>
        <w:rPr>
          <w:rFonts w:ascii="Times New Roman" w:cs="Times New Roman" w:hAnsi="Times New Roman"/>
          <w:color w:val="000000"/>
          <w:sz w:val="24"/>
          <w:szCs w:val="24"/>
        </w:rPr>
      </w:r>
    </w:p>
    <w:p>
      <w:pPr>
        <w:pStyle w:val="style0"/>
        <w:ind w:firstLine="4519" w:left="0" w:right="0"/>
      </w:pPr>
      <w:r>
        <w:rPr>
          <w:rFonts w:ascii="Times New Roman" w:cs="Times New Roman" w:hAnsi="Times New Roman"/>
          <w:color w:val="000000"/>
          <w:sz w:val="24"/>
          <w:szCs w:val="24"/>
        </w:rPr>
      </w:r>
    </w:p>
    <w:p>
      <w:pPr>
        <w:pStyle w:val="style0"/>
        <w:ind w:firstLine="9" w:left="0" w:right="0"/>
        <w:jc w:val="center"/>
      </w:pPr>
      <w:r>
        <w:rPr>
          <w:rFonts w:ascii="Times New Roman" w:cs="Times New Roman" w:hAnsi="Times New Roman"/>
          <w:color w:val="000000"/>
          <w:sz w:val="24"/>
          <w:szCs w:val="24"/>
        </w:rPr>
        <w:t>ИСКОВОЕ ЗАЯВЛЕНИЕ</w:t>
      </w:r>
    </w:p>
    <w:p>
      <w:pPr>
        <w:pStyle w:val="style0"/>
        <w:ind w:firstLine="9" w:left="0" w:right="0"/>
        <w:jc w:val="center"/>
      </w:pPr>
      <w:r>
        <w:rPr>
          <w:rFonts w:ascii="Times New Roman" w:cs="Times New Roman" w:hAnsi="Times New Roman"/>
          <w:color w:val="000000"/>
          <w:sz w:val="24"/>
          <w:szCs w:val="24"/>
        </w:rPr>
        <w:t>о понуждении к заключению договора</w:t>
      </w:r>
    </w:p>
    <w:p>
      <w:pPr>
        <w:pStyle w:val="style0"/>
        <w:ind w:firstLine="9" w:left="0" w:right="0"/>
        <w:jc w:val="center"/>
      </w:pPr>
      <w:r>
        <w:rPr>
          <w:rFonts w:ascii="Times New Roman" w:cs="Times New Roman" w:hAnsi="Times New Roman"/>
          <w:color w:val="000000"/>
          <w:sz w:val="24"/>
          <w:szCs w:val="24"/>
        </w:rPr>
      </w:r>
    </w:p>
    <w:p>
      <w:pPr>
        <w:pStyle w:val="style0"/>
        <w:ind w:firstLine="9" w:left="0" w:right="0"/>
        <w:jc w:val="both"/>
      </w:pPr>
      <w:r>
        <w:rPr>
          <w:rFonts w:ascii="Times New Roman" w:cs="Times New Roman" w:hAnsi="Times New Roman"/>
          <w:color w:val="000000"/>
          <w:sz w:val="24"/>
          <w:szCs w:val="24"/>
        </w:rPr>
        <w:tab/>
        <w:t>Я являюсь собственником квартиры № Х д. ХХ ул. ХХХ.</w:t>
      </w:r>
    </w:p>
    <w:p>
      <w:pPr>
        <w:pStyle w:val="style0"/>
        <w:ind w:firstLine="9" w:left="0" w:right="0"/>
        <w:jc w:val="both"/>
      </w:pPr>
      <w:r>
        <w:rPr>
          <w:rFonts w:ascii="Times New Roman" w:cs="Times New Roman" w:hAnsi="Times New Roman"/>
          <w:color w:val="000000"/>
          <w:sz w:val="24"/>
          <w:szCs w:val="24"/>
        </w:rPr>
        <w:tab/>
        <w:t xml:space="preserve">В соответствии с решением общего собрания от ХХ.ХХ.2013 года, собственниками был избран способ управления домом-  </w:t>
      </w:r>
      <w:r>
        <w:rPr>
          <w:rFonts w:ascii="Times New Roman" w:cs="Times New Roman" w:eastAsia="Arial" w:hAnsi="Times New Roman"/>
          <w:b w:val="false"/>
          <w:bCs w:val="false"/>
          <w:i w:val="false"/>
          <w:iCs w:val="false"/>
          <w:strike w:val="false"/>
          <w:dstrike w:val="false"/>
          <w:color w:val="000000"/>
          <w:position w:val="0"/>
          <w:sz w:val="24"/>
          <w:sz w:val="24"/>
          <w:szCs w:val="24"/>
          <w:u w:val="none"/>
          <w:vertAlign w:val="baseline"/>
        </w:rPr>
        <w:t>непосредственное управление собственниками помещений в многоквартирном доме, принято решение о заключении с УК  договора на оказание услуг по содержанию и текущему ремонту, определены условия договора. ХХ.ХХ.2013 года заключен договор на оказание указанных услуг с УК.</w:t>
      </w:r>
    </w:p>
    <w:p>
      <w:pPr>
        <w:pStyle w:val="style0"/>
        <w:ind w:firstLine="9" w:left="0" w:right="0"/>
        <w:jc w:val="both"/>
      </w:pPr>
      <w:r>
        <w:rPr>
          <w:rFonts w:ascii="Times New Roman" w:cs="Times New Roman" w:eastAsia="Arial" w:hAnsi="Times New Roman"/>
          <w:b w:val="false"/>
          <w:bCs w:val="false"/>
          <w:i w:val="false"/>
          <w:iCs w:val="false"/>
          <w:strike w:val="false"/>
          <w:dstrike w:val="false"/>
          <w:color w:val="000000"/>
          <w:position w:val="0"/>
          <w:sz w:val="24"/>
          <w:sz w:val="24"/>
          <w:szCs w:val="24"/>
          <w:u w:val="none"/>
          <w:vertAlign w:val="baseline"/>
        </w:rPr>
        <w:tab/>
        <w:t>В соответствии с ч. 1 ст. 169 ЖК РФ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частью 2 настоящей статьи, частью 8 статьи 170 и частью 4 статьи 181 настоящего Кодекса, в размере, установленном в соответствии с частью 8.1 статьи 156 настоящего Кодекса, или, если соответствующее решение принято общим собранием собственников помещений в многоквартирном доме, в большем размере.</w:t>
      </w:r>
    </w:p>
    <w:p>
      <w:pPr>
        <w:pStyle w:val="style0"/>
        <w:ind w:firstLine="9" w:left="0" w:right="0"/>
        <w:jc w:val="both"/>
      </w:pPr>
      <w:r>
        <w:rPr>
          <w:rFonts w:ascii="Times New Roman" w:cs="Times New Roman" w:hAnsi="Times New Roman"/>
          <w:color w:val="000000"/>
          <w:sz w:val="24"/>
          <w:szCs w:val="24"/>
        </w:rPr>
        <w:tab/>
      </w:r>
      <w:r>
        <w:rPr>
          <w:rFonts w:ascii="Times New Roman" w:cs="Times New Roman" w:hAnsi="Times New Roman"/>
          <w:color w:val="000000"/>
          <w:sz w:val="24"/>
          <w:szCs w:val="24"/>
          <w:lang w:val="ru-RU"/>
        </w:rPr>
        <w:t>В соответствии с решением общего собрания собственников жилых помещений в многоквартирном доме ХХ ул. ХХХ, г. ХХХ от ХХ марта 2014 года собственниками выбран способ накопления средств на капитальный ремонт в виде перечисления средств на специальный счёт, владельцем специального счёта определёна НО «Фонд капитального ремонта общего имущества многоквартирных домов» (ФКР МО), являющийся региональным оператором капитального ремонта в Московской области.</w:t>
      </w:r>
    </w:p>
    <w:p>
      <w:pPr>
        <w:pStyle w:val="style0"/>
        <w:ind w:firstLine="9" w:left="0" w:right="0"/>
        <w:jc w:val="both"/>
      </w:pPr>
      <w:r>
        <w:rPr>
          <w:rFonts w:ascii="Times New Roman" w:cs="Times New Roman" w:hAnsi="Times New Roman"/>
          <w:color w:val="000000"/>
          <w:sz w:val="24"/>
          <w:szCs w:val="24"/>
          <w:lang w:val="ru-RU"/>
        </w:rPr>
        <w:tab/>
        <w:t>ХХ октября 2014 года собственниками и ФКР МО заключен договор о формировании фонда капитального ремонта общего имущества в многоквартирном доме на специальном счёте.</w:t>
      </w:r>
    </w:p>
    <w:p>
      <w:pPr>
        <w:pStyle w:val="style0"/>
        <w:ind w:firstLine="9" w:left="0" w:right="0"/>
        <w:jc w:val="both"/>
      </w:pPr>
      <w:r>
        <w:rPr>
          <w:rFonts w:ascii="Times New Roman" w:cs="Times New Roman" w:hAnsi="Times New Roman"/>
          <w:color w:val="000000"/>
          <w:sz w:val="24"/>
          <w:szCs w:val="24"/>
          <w:lang w:val="ru-RU"/>
        </w:rPr>
        <w:tab/>
        <w:t xml:space="preserve">В период с октября 2014 года по сентябрь 2015 года услуги по предоставлению платёжных документов на оплату взноса на капитальный ремонт на спецсчёт собственникам оказывало </w:t>
      </w:r>
      <w:r>
        <w:rPr>
          <w:rFonts w:ascii="Times New Roman" w:cs="Times New Roman" w:hAnsi="Times New Roman"/>
          <w:b w:val="false"/>
          <w:i w:val="false"/>
          <w:caps w:val="false"/>
          <w:smallCaps w:val="false"/>
          <w:color w:val="000000"/>
          <w:spacing w:val="0"/>
          <w:sz w:val="24"/>
          <w:szCs w:val="24"/>
        </w:rPr>
        <w:t>Расчетно-кассовый центр, так как оно являлось платёжным агентом УК.</w:t>
      </w:r>
    </w:p>
    <w:p>
      <w:pPr>
        <w:pStyle w:val="style0"/>
        <w:ind w:firstLine="9" w:left="0" w:right="0"/>
        <w:jc w:val="both"/>
      </w:pPr>
      <w:r>
        <w:rPr>
          <w:rFonts w:ascii="Times New Roman" w:cs="Times New Roman" w:hAnsi="Times New Roman"/>
          <w:b w:val="false"/>
          <w:i w:val="false"/>
          <w:caps w:val="false"/>
          <w:smallCaps w:val="false"/>
          <w:color w:val="000000"/>
          <w:spacing w:val="0"/>
          <w:sz w:val="24"/>
          <w:szCs w:val="24"/>
        </w:rPr>
        <w:tab/>
        <w:t>В конце лета 2015 года УК и РКЦ был расторгнут агентский договор и, в том числе, была прекращена печать квитанций по внесению платы за капитальный ремонт для собственников квартир в д. ХХ ул. ХХХ. С сентября 2015 года платёжные документы по внесению платы за капитальный ремонт собственникам квартир не предоставляются.</w:t>
      </w:r>
    </w:p>
    <w:p>
      <w:pPr>
        <w:pStyle w:val="style0"/>
        <w:ind w:firstLine="9" w:left="0" w:right="0"/>
        <w:jc w:val="both"/>
      </w:pPr>
      <w:r>
        <w:rPr>
          <w:rFonts w:ascii="Times New Roman" w:cs="Times New Roman" w:hAnsi="Times New Roman"/>
          <w:b w:val="false"/>
          <w:i w:val="false"/>
          <w:caps w:val="false"/>
          <w:smallCaps w:val="false"/>
          <w:color w:val="000000"/>
          <w:spacing w:val="0"/>
          <w:sz w:val="24"/>
          <w:szCs w:val="24"/>
        </w:rPr>
        <w:tab/>
        <w:t xml:space="preserve">ХХ.ХХ.2016 года жителем дома ХХ </w:t>
      </w:r>
      <w:r>
        <w:rPr>
          <w:rFonts w:ascii="Times New Roman" w:cs="Times New Roman" w:hAnsi="Times New Roman"/>
          <w:b w:val="false"/>
          <w:i w:val="false"/>
          <w:caps w:val="false"/>
          <w:smallCaps w:val="false"/>
          <w:color w:val="000000"/>
          <w:spacing w:val="0"/>
          <w:sz w:val="24"/>
          <w:szCs w:val="24"/>
          <w:lang w:val="en-US"/>
        </w:rPr>
        <w:t>N</w:t>
      </w:r>
      <w:r>
        <w:rPr>
          <w:rFonts w:ascii="Times New Roman" w:cs="Times New Roman" w:hAnsi="Times New Roman"/>
          <w:b w:val="false"/>
          <w:i w:val="false"/>
          <w:caps w:val="false"/>
          <w:smallCaps w:val="false"/>
          <w:color w:val="000000"/>
          <w:spacing w:val="0"/>
          <w:sz w:val="24"/>
          <w:szCs w:val="24"/>
        </w:rPr>
        <w:t xml:space="preserve"> в УК было направлено письмо с просьбой </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направить в расчётный центр письмо, гарантирующее оплату услуг по начислению, печати квитанций и перечислению денежных средств на специальный счёт  по услуге капитальный ремонт после принятия собственниками решения на общем собрании о возложении данных обязанностей на РЦ, а так же после принятия данного решения, заключить совместно с собственниками жилых помещений договор на осуществление указанных функций с РЦ.</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Ответ на письмо получен не был, в адрес РЦ так же никаких писем не направлялось, договор не был заключен.</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lang w:val="ru-RU"/>
        </w:rPr>
        <w:t>В соответствии с ч. 3.1 ст. 175 ЖК РФ, вступившей в действие с 30.06.2015 г., то есть после принятия собственниками решения о накоплении средств на спецсчёте, р</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 </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Собственниками самостоятельно было получено предварительное согласие РЦ на  на оказание услуг по представлению платежных документов на уплату взносов на капитальный ремонт на специальный счет, а так же услуг по сбору и перечислению денежных средств  по уплате взносов на капитальный ремонт на специальный счет собственникам квартир в д. ХХ ул. ХХХ и было проведено общее собрание, на котором принято решение о заключении договора с РЦ.</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При этом, так как отсутствовало согласие на оплату услуг расчётного центра УК, собственники были вынуждены установить, что оплата вознаграждения осуществляется плательщиками при приёме платежа для перечисления на капитальный ремонт на специальный счёт в кассах расчётный центр. </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Данный порядок уплаты вознаграждения расчётный центр установлен до окончательного разрешения спора с Управляющая компания о том, кто и в каком порядке обязан оплачивать услуги расчётный центр, указанные в решении собрания.</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ХХ.ХХ.2016 года собственниками и РЦ был заключен договор.</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Считаю бездействие УК по заключению договора и оплаты услуг РЦ не законным по следующим основаниям:</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В соответствии с ч. 2.1 ст. 161 ЖК РФ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w:t>
      </w:r>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а также в соответствии с</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 установленными Правительством Российской Федерации </w:t>
      </w:r>
      <w:hyperlink r:id="rId2">
        <w:r>
          <w:rPr>
            <w:rStyle w:val="style22"/>
            <w:rStyle w:val="style22"/>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правилами</w:t>
        </w:r>
      </w:hyperlink>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 xml:space="preserve"> содержания общего имущества в многоквартирном доме</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 В соответствии с пп. «а»</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lang w:val="ru-RU"/>
        </w:rPr>
        <w:t xml:space="preserve"> </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п. 28 </w:t>
      </w:r>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Правил содержания общего имущества в многоквартирном доме</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 утверждённых постановлением Правительства РФ от 13.08.2006 N 491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 </w:t>
      </w:r>
      <w:r>
        <w:rPr>
          <w:rFonts w:ascii="Times New Roman" w:cs="Times New Roman" w:eastAsia="Arial" w:hAnsi="Times New Roman"/>
          <w:b w:val="false"/>
          <w:bCs w:val="false"/>
          <w:i w:val="false"/>
          <w:iCs w:val="false"/>
          <w:strike w:val="false"/>
          <w:dstrike w:val="false"/>
          <w:position w:val="0"/>
          <w:sz w:val="24"/>
          <w:sz w:val="24"/>
          <w:szCs w:val="24"/>
          <w:u w:val="none"/>
          <w:vertAlign w:val="baseline"/>
        </w:rPr>
        <w:t>платы за содержание и ремонт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pPr>
        <w:pStyle w:val="style0"/>
        <w:ind w:firstLine="9" w:left="0" w:right="0"/>
        <w:jc w:val="both"/>
      </w:pPr>
      <w:r>
        <w:rPr>
          <w:rFonts w:ascii="Times New Roman" w:cs="Times New Roman" w:eastAsia="Arial" w:hAnsi="Times New Roman"/>
          <w:b w:val="false"/>
          <w:bCs w:val="false"/>
          <w:i w:val="false"/>
          <w:iCs w:val="false"/>
          <w:strike w:val="false"/>
          <w:dstrike w:val="false"/>
          <w:position w:val="0"/>
          <w:sz w:val="24"/>
          <w:sz w:val="24"/>
          <w:szCs w:val="24"/>
          <w:u w:val="none"/>
          <w:vertAlign w:val="baseline"/>
        </w:rPr>
        <w:tab/>
        <w:t xml:space="preserve">В соответствии с п. 29  </w:t>
      </w:r>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Правил содержания общего имущества в многоквартирном доме</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 утверждённых постановлением Правительства РФ от 13.08.2006 N 491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w:t>
      </w:r>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lang w:val="ru-RU"/>
        </w:rPr>
        <w:t>В соответствии с ч. 2 ст. 154 ЖК РФ взнос на капитальный ремонт входит в структуру платы за жилое помещение и коммунальные услуги для собственника помещения в многоквартирном доме.</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В соответствии с п. 11 (1) </w:t>
      </w:r>
      <w:r>
        <w:rPr>
          <w:rFonts w:ascii="Times New Roman" w:cs="Times New Roman" w:eastAsia="Arial" w:hAnsi="Times New Roman"/>
          <w:b w:val="false"/>
          <w:bCs w:val="false"/>
          <w:i/>
          <w:iCs/>
          <w:strike w:val="false"/>
          <w:dstrike w:val="false"/>
          <w:color w:val="000000"/>
          <w:position w:val="0"/>
          <w:sz w:val="24"/>
          <w:sz w:val="24"/>
          <w:szCs w:val="24"/>
          <w:u w:val="none"/>
          <w:vertAlign w:val="baseline"/>
        </w:rPr>
        <w:t>Правил содержания общего имущества в многоквартирном доме</w:t>
      </w:r>
      <w:r>
        <w:rPr>
          <w:rFonts w:ascii="Times New Roman" w:cs="Times New Roman" w:eastAsia="Arial" w:hAnsi="Times New Roman"/>
          <w:b w:val="false"/>
          <w:bCs w:val="false"/>
          <w:i w:val="false"/>
          <w:iCs w:val="false"/>
          <w:strike w:val="false"/>
          <w:dstrike w:val="false"/>
          <w:color w:val="000000"/>
          <w:position w:val="0"/>
          <w:sz w:val="24"/>
          <w:sz w:val="24"/>
          <w:szCs w:val="24"/>
          <w:u w:val="none"/>
          <w:vertAlign w:val="baseline"/>
        </w:rPr>
        <w:t>, утверждённых п</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остановлением Правительства РФ от 13.08.2006 N 491 минимальный </w:t>
      </w:r>
      <w:hyperlink r:id="rId3">
        <w:r>
          <w:rPr>
            <w:rStyle w:val="style22"/>
            <w:rStyle w:val="style22"/>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перечень</w:t>
        </w:r>
      </w:hyperlink>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 услуг и работ, необходимых для обеспечения надлежащего содержания общего имущества в многоквартирном доме, и </w:t>
      </w:r>
      <w:hyperlink r:id="rId4">
        <w:r>
          <w:rPr>
            <w:rStyle w:val="style22"/>
            <w:rStyle w:val="style22"/>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Правила</w:t>
        </w:r>
      </w:hyperlink>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 xml:space="preserve"> оказания услуг и выполнения работ, необходимых для обеспечения надлежащего содержания общего имущества в многоквартирном доме, устанавливаются Правительством Российской Федерации</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В соответствии с пп. «д» п. 6 </w:t>
      </w:r>
      <w:hyperlink r:id="rId5">
        <w:r>
          <w:rPr>
            <w:rStyle w:val="style22"/>
            <w:rStyle w:val="style22"/>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Правил</w:t>
        </w:r>
      </w:hyperlink>
      <w:r>
        <w:rPr>
          <w:rFonts w:ascii="Times New Roman" w:cs="Times New Roman" w:eastAsia="Arial" w:hAnsi="Times New Roman"/>
          <w:b w:val="false"/>
          <w:bCs w:val="false"/>
          <w:i/>
          <w:iCs/>
          <w:caps w:val="false"/>
          <w:smallCaps w:val="false"/>
          <w:strike w:val="false"/>
          <w:dstrike w:val="false"/>
          <w:color w:val="000000"/>
          <w:spacing w:val="0"/>
          <w:position w:val="0"/>
          <w:sz w:val="24"/>
          <w:sz w:val="24"/>
          <w:szCs w:val="24"/>
          <w:u w:val="none"/>
          <w:vertAlign w:val="baseline"/>
        </w:rPr>
        <w:t xml:space="preserve"> оказания услуг и выполнения работ, необходимых для обеспечения надлежащего содержания общего имущества в многоквартирном доме</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утверждённых постановлением Правительства РФ от 03.04.2013 N 290  в целях обеспечения оказания услуг и выполнения работ, предусмотренных перечнем услуг и работ, лица, ответственные за содержание и ремонт общего имущества в многоквартирном доме, обязаны организовывать работу по начислению и сбору платы за содержание и ремонт жилых помещений.</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В соответствии с разделом 3 договора и п. 5 решения общего собрания от ХХ.ХХ.2013 года определён размер платы за содержание и текущий ремонт, уплачиваемой собственниками УК.</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В соответствии с п. 1.1 и 1.1.1. договора от ХХ.ХХ.2013 года, заключенного между собственниками жилых помещений в д. ХХ ул. ХХ и УК собственники передают, а обслуживающая организация принимает на себя оказание услуг по обслуживанию и ремонту общего имущества многоквартирного дома, расположенного по указанному адресу, а именно: выполнение работ и оказание услуг по содержанию и текущему ремонту.... . </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Таким образом лицом, ответственным за содержание и ремонт общего имущества в многоквартирном доме ХХ ул. ХХХ является УК и УК обязано заключить договор с организацией, избранной собственниками в качестве  лица, уполномоченного на оказание услуг по представлению платежных документов на уплату взносов на капитальный ремонт на специальный счет, а так же оплачивать услуги данной организации, так как эти расходы включены в состав вознаграждения, уплачиваемого УК собственниками по договору.</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Бездействие УК в части не заключения указанного договора и оплаты услуг нарушает мои имущественные права, так как  в данный момент я два раза несу расходы по начислению и сбору платы за капитальный ремонт, первый раз уплачивая вознаграждение УК, второй раз уплачивая вознаграждение РЦ непосредственно в момент внесения платы за капитальный ремонт в кассе платёжного агента. Так же бездействие УК нарушает мои права как потребителя, так как качество предоставляемых УК услуг не соответствует заключенному между нами договору и требованиям закона, что противоречит ч. 1 ст. 4 закона РФ от 07.02.1992 N 2300-1 "О защите прав потребителей".</w:t>
      </w:r>
    </w:p>
    <w:p>
      <w:pPr>
        <w:sectPr>
          <w:type w:val="nextPage"/>
          <w:pgSz w:h="16838" w:w="11906"/>
          <w:pgMar w:bottom="874" w:footer="0" w:gutter="0" w:header="0" w:left="1134" w:right="1134" w:top="1134"/>
          <w:pgNumType w:fmt="decimal"/>
          <w:formProt w:val="false"/>
          <w:textDirection w:val="lrTb"/>
          <w:docGrid w:charSpace="0" w:linePitch="360" w:type="default"/>
        </w:sectPr>
      </w:pP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 В соответствии с п. 1, 2 постановления Пленума Верховного Суда РФ от 28.06.2012 N 17 "О рассмотрении судами гражданских дел по спорам о защите прав потребителей" на настоящее исковое заявление распространяется действие ч. 3 ст. 17 закона РФ от 07.02.1992 N 2300-1 "О защите прав потребителей"</w:t>
      </w:r>
      <w:r>
        <w:rPr>
          <w:rFonts w:ascii="Times New Roman" w:cs="Times New Roman" w:hAnsi="Times New Roman"/>
          <w:b w:val="false"/>
          <w:bCs w:val="false"/>
          <w:i w:val="false"/>
          <w:caps w:val="false"/>
          <w:smallCaps w:val="false"/>
          <w:color w:val="000000"/>
          <w:spacing w:val="0"/>
          <w:sz w:val="24"/>
          <w:szCs w:val="24"/>
        </w:rPr>
        <w:t>, то есть истец освобождён от уплаты государственной пошлины.</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 xml:space="preserve">На основании изложенного </w:t>
      </w:r>
    </w:p>
    <w:p>
      <w:pPr>
        <w:pStyle w:val="style0"/>
        <w:ind w:firstLine="9" w:left="0" w:right="0"/>
        <w:jc w:val="center"/>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ПРОШУ:</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ab/>
        <w:t>Обязать  Ответчика немедленно после вступления в законную силу решения суда по данному делу заключить договор с расчётный центр ( ОГРН: , ИНН: ) на оказание услуг по представлению платежных документов на уплату взносов на капитальный ремонт на специальный счет, а так же услуг по сбору и перечислению денежных средств  по уплате взносов на капитальный ремонт на специальный счет с целью формирования фонда капитального ремонта многоквартирного дома, расположенного по адресу ХХХ область, г. ХХХ, ул. ХХХ, д. ХХ на условиях, соответствующих законодательству Российской Федерации и решению общего собрания собственников жилых помещений, расположенных в доме по указанному адресу, отражённого в протоколе от ХХ.04.2016 года в части определения порядка представления платежных документов и размере вознаграждения расчётный центр и производить оплату услуг расчётный центр в размере, установленном решением общего собрания  собственников жилых помещений, расположенных в доме по указанному адресу до момента прекращения в установленном законом порядке обязанности собственников по оплате взноса на капитальный ремонт либо до момента реализации решения собственников или уполномоченного органа о изменении способа формирования фонда капитального ремонта либо до момента расторжения договора с  расчётный центр по основаниям, предусмотренным законодательством или договором.</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Приложение:</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1. Копия свидетельства о государственной регистрации права;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2. копия доверенности;</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3. копия протокола общего собрания от .2013 года;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4. копия договора от .2013 года;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5. копия протокола от .2014 года;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6. копия договора с НО ФКР МО от .2014 года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7. копия письма от .2016 года в УК о заключении договора;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8. копия письма РЦ о согласии осуществлять функции платёжного агента;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9.копия протокола общего собрания от .2016 года об избрании платёжного агента;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10. копия договора с платёжным агентом от .2016 года;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11. копия письма о изменении реквизитов;</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12. копия письма об изменении адреса;</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13. копии искового заявления для сторон.</w:t>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r>
    </w:p>
    <w:p>
      <w:pPr>
        <w:pStyle w:val="style0"/>
        <w:ind w:firstLine="9" w:left="0" w:right="0"/>
        <w:jc w:val="both"/>
      </w:pP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«___»_________2016                                                                      ______________</w:t>
      </w:r>
    </w:p>
    <w:p>
      <w:pPr>
        <w:pStyle w:val="style0"/>
        <w:ind w:firstLine="9" w:left="0" w:right="0"/>
        <w:jc w:val="both"/>
      </w:pPr>
      <w:r>
        <w:rPr>
          <w:rFonts w:ascii="Times New Roman" w:cs="Times New Roman" w:eastAsia="Times New Roman"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 xml:space="preserve">                                                                                                                                   </w:t>
      </w:r>
      <w:r>
        <w:rPr>
          <w:rFonts w:ascii="Times New Roman" w:cs="Times New Roman" w:eastAsia="Arial" w:hAnsi="Times New Roman"/>
          <w:b w:val="false"/>
          <w:bCs w:val="false"/>
          <w:i w:val="false"/>
          <w:iCs w:val="false"/>
          <w:caps w:val="false"/>
          <w:smallCaps w:val="false"/>
          <w:strike w:val="false"/>
          <w:dstrike w:val="false"/>
          <w:color w:val="000000"/>
          <w:spacing w:val="0"/>
          <w:position w:val="0"/>
          <w:sz w:val="24"/>
          <w:sz w:val="24"/>
          <w:szCs w:val="24"/>
          <w:u w:val="none"/>
          <w:vertAlign w:val="baseline"/>
        </w:rPr>
        <w:t>по доверенности</w:t>
      </w:r>
    </w:p>
    <w:p>
      <w:pPr>
        <w:sectPr>
          <w:type w:val="continuous"/>
          <w:pgSz w:h="16838" w:w="11906"/>
          <w:pgMar w:bottom="874" w:footer="0" w:gutter="0" w:header="0" w:left="1134" w:right="1134" w:top="1134"/>
          <w:formProt w:val="false"/>
          <w:textDirection w:val="lrTb"/>
          <w:docGrid w:charSpace="0" w:linePitch="360" w:type="default"/>
        </w:sectPr>
      </w:pPr>
    </w:p>
    <w:sectPr>
      <w:type w:val="continuous"/>
      <w:pgSz w:h="16838" w:w="11906"/>
      <w:pgMar w:bottom="874" w:footer="0" w:gutter="0" w:header="0" w:left="1134" w:right="1134" w:top="1134"/>
      <w:pgNumType w:fmt="decimal"/>
      <w:formProt w:val="false"/>
      <w:textDirection w:val="lrTb"/>
      <w:docGrid w:charSpace="0"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s>
</file>

<file path=word/numbering.xml><?xml version="1.0" encoding="utf-8"?>
<w:numbering xmlns:w="http://schemas.openxmlformats.org/wordprocessingml/2006/main">
  <w:abstractNum w:abstractNumId="1">
    <w:lvl w:ilvl="0">
      <w:start w:val="1"/>
      <w:numFmt w:val="none"/>
      <w:suff w:val="nothing"/>
      <w:lvlText w:val=""/>
      <w:lvlJc w:val="left"/>
      <w:pPr>
        <w:ind w:hanging="432" w:left="432"/>
      </w:pPr>
    </w:lvl>
    <w:lvl w:ilvl="1">
      <w:start w:val="1"/>
      <w:numFmt w:val="none"/>
      <w:suff w:val="nothing"/>
      <w:lvlText w:val=""/>
      <w:lvlJc w:val="left"/>
      <w:pPr>
        <w:ind w:hanging="576" w:left="576"/>
      </w:pPr>
    </w:lvl>
    <w:lvl w:ilvl="2">
      <w:start w:val="1"/>
      <w:numFmt w:val="none"/>
      <w:suff w:val="nothing"/>
      <w:lvlText w:val=""/>
      <w:lvlJc w:val="left"/>
      <w:pPr>
        <w:ind w:hanging="720" w:left="720"/>
      </w:pPr>
    </w:lvl>
    <w:lvl w:ilvl="3">
      <w:start w:val="1"/>
      <w:numFmt w:val="none"/>
      <w:suff w:val="nothing"/>
      <w:lvlText w:val=""/>
      <w:lvlJc w:val="left"/>
      <w:pPr>
        <w:ind w:hanging="864" w:left="864"/>
      </w:pPr>
    </w:lvl>
    <w:lvl w:ilvl="4">
      <w:start w:val="1"/>
      <w:numFmt w:val="none"/>
      <w:suff w:val="nothing"/>
      <w:lvlText w:val=""/>
      <w:lvlJc w:val="left"/>
      <w:pPr>
        <w:ind w:hanging="1008" w:left="1008"/>
      </w:pPr>
    </w:lvl>
    <w:lvl w:ilvl="5">
      <w:start w:val="1"/>
      <w:numFmt w:val="none"/>
      <w:suff w:val="nothing"/>
      <w:lvlText w:val=""/>
      <w:lvlJc w:val="left"/>
      <w:pPr>
        <w:ind w:hanging="1152" w:left="1152"/>
      </w:pPr>
    </w:lvl>
    <w:lvl w:ilvl="6">
      <w:start w:val="1"/>
      <w:numFmt w:val="none"/>
      <w:suff w:val="nothing"/>
      <w:lvlText w:val=""/>
      <w:lvlJc w:val="left"/>
      <w:pPr>
        <w:ind w:hanging="1296" w:left="1296"/>
      </w:pPr>
    </w:lvl>
    <w:lvl w:ilvl="7">
      <w:start w:val="1"/>
      <w:numFmt w:val="none"/>
      <w:suff w:val="nothing"/>
      <w:lvlText w:val=""/>
      <w:lvlJc w:val="left"/>
      <w:pPr>
        <w:ind w:hanging="1440" w:left="1440"/>
      </w:pPr>
    </w:lvl>
    <w:lvl w:ilvl="8">
      <w:start w:val="1"/>
      <w:numFmt w:val="none"/>
      <w:suff w:val="nothing"/>
      <w:lvlText w:val=""/>
      <w:lvlJc w:val="left"/>
      <w:pPr>
        <w:ind w:hanging="1584" w:left="1584"/>
      </w:pPr>
    </w:lvl>
  </w:abstractNum>
  <w:num w:numId="1">
    <w:abstractNumId w:val="1"/>
  </w:num>
</w:numbering>
</file>

<file path=word/settings.xml><?xml version="1.0" encoding="utf-8"?>
<w:settings xmlns:w="http://schemas.openxmlformats.org/wordprocessingml/2006/main">
  <w:zoom w:percent="159"/>
  <w:defaultTabStop w:val="709"/>
</w:settings>
</file>

<file path=word/styles.xml><?xml version="1.0" encoding="utf-8"?>
<w:styles xmlns:w="http://schemas.openxmlformats.org/wordprocessingml/2006/main">
  <w:style w:styleId="style0" w:type="paragraph">
    <w:name w:val="Базовый"/>
    <w:next w:val="style0"/>
    <w:pPr>
      <w:widowControl w:val="false"/>
      <w:tabs/>
      <w:suppressAutoHyphens w:val="true"/>
    </w:pPr>
    <w:rPr>
      <w:rFonts w:ascii="Times New Roman" w:cs="Mangal" w:eastAsia="Lucida Sans Unicode" w:hAnsi="Times New Roman"/>
      <w:color w:val="auto"/>
      <w:sz w:val="24"/>
      <w:szCs w:val="24"/>
      <w:lang w:bidi="hi-IN" w:eastAsia="zh-CN" w:val="ru-RU"/>
    </w:rPr>
  </w:style>
  <w:style w:styleId="style1" w:type="paragraph">
    <w:name w:val="Заголовок 1"/>
    <w:basedOn w:val="style24"/>
    <w:next w:val="style25"/>
    <w:pPr>
      <w:numPr>
        <w:ilvl w:val="0"/>
        <w:numId w:val="1"/>
      </w:numPr>
      <w:outlineLvl w:val="0"/>
    </w:pPr>
    <w:rPr>
      <w:rFonts w:ascii="Times New Roman" w:cs="Mangal" w:eastAsia="Lucida Sans Unicode" w:hAnsi="Times New Roman"/>
      <w:b/>
      <w:bCs/>
      <w:sz w:val="48"/>
      <w:szCs w:val="48"/>
    </w:rPr>
  </w:style>
  <w:style w:styleId="style15" w:type="character">
    <w:name w:val="Absatz-Standardschriftart"/>
    <w:next w:val="style15"/>
    <w:rPr/>
  </w:style>
  <w:style w:styleId="style16" w:type="character">
    <w:name w:val="WW-Absatz-Standardschriftart"/>
    <w:next w:val="style16"/>
    <w:rPr/>
  </w:style>
  <w:style w:styleId="style17" w:type="character">
    <w:name w:val="WW-Absatz-Standardschriftart1"/>
    <w:next w:val="style17"/>
    <w:rPr/>
  </w:style>
  <w:style w:styleId="style18" w:type="character">
    <w:name w:val="WW-Absatz-Standardschriftart11"/>
    <w:next w:val="style18"/>
    <w:rPr/>
  </w:style>
  <w:style w:styleId="style19" w:type="character">
    <w:name w:val="WW-Absatz-Standardschriftart111"/>
    <w:next w:val="style19"/>
    <w:rPr/>
  </w:style>
  <w:style w:styleId="style20" w:type="character">
    <w:name w:val="WW-Absatz-Standardschriftart1111"/>
    <w:next w:val="style20"/>
    <w:rPr/>
  </w:style>
  <w:style w:styleId="style21" w:type="character">
    <w:name w:val="WW-Absatz-Standardschriftart11111"/>
    <w:next w:val="style21"/>
    <w:rPr/>
  </w:style>
  <w:style w:styleId="style22" w:type="character">
    <w:name w:val="Интернет-ссылка"/>
    <w:next w:val="style22"/>
    <w:rPr>
      <w:color w:val="000080"/>
      <w:u w:val="single"/>
      <w:lang w:bidi="ru-RU" w:eastAsia="ru-RU" w:val="ru-RU"/>
    </w:rPr>
  </w:style>
  <w:style w:styleId="style23" w:type="character">
    <w:name w:val="Q"/>
    <w:next w:val="style23"/>
    <w:rPr/>
  </w:style>
  <w:style w:styleId="style24" w:type="paragraph">
    <w:name w:val="Заголовок"/>
    <w:basedOn w:val="style0"/>
    <w:next w:val="style25"/>
    <w:pPr>
      <w:keepNext/>
      <w:spacing w:after="120" w:before="240"/>
      <w:contextualSpacing w:val="false"/>
    </w:pPr>
    <w:rPr>
      <w:rFonts w:ascii="Arial" w:cs="Mangal" w:eastAsia="Lucida Sans Unicode" w:hAnsi="Arial"/>
      <w:sz w:val="28"/>
      <w:szCs w:val="28"/>
    </w:rPr>
  </w:style>
  <w:style w:styleId="style25" w:type="paragraph">
    <w:name w:val="Основной текст"/>
    <w:basedOn w:val="style0"/>
    <w:next w:val="style25"/>
    <w:pPr>
      <w:spacing w:after="120" w:before="0"/>
      <w:contextualSpacing w:val="false"/>
    </w:pPr>
    <w:rPr/>
  </w:style>
  <w:style w:styleId="style26" w:type="paragraph">
    <w:name w:val="Список"/>
    <w:basedOn w:val="style25"/>
    <w:next w:val="style26"/>
    <w:pPr/>
    <w:rPr>
      <w:rFonts w:cs="Mangal"/>
    </w:rPr>
  </w:style>
  <w:style w:styleId="style27" w:type="paragraph">
    <w:name w:val="Название"/>
    <w:basedOn w:val="style0"/>
    <w:next w:val="style27"/>
    <w:pPr>
      <w:suppressLineNumbers/>
      <w:spacing w:after="120" w:before="120"/>
      <w:contextualSpacing w:val="false"/>
    </w:pPr>
    <w:rPr>
      <w:rFonts w:cs="Mangal"/>
      <w:i/>
      <w:iCs/>
      <w:sz w:val="24"/>
      <w:szCs w:val="24"/>
    </w:rPr>
  </w:style>
  <w:style w:styleId="style28" w:type="paragraph">
    <w:name w:val="Указатель"/>
    <w:basedOn w:val="style0"/>
    <w:next w:val="style28"/>
    <w:pPr>
      <w:suppressLineNumbers/>
    </w:pPr>
    <w:rPr>
      <w:rFonts w:cs="Mangal"/>
    </w:rPr>
  </w:style>
  <w:style w:styleId="style29" w:type="paragraph">
    <w:name w:val="  ConsPlusDocList"/>
    <w:next w:val="style0"/>
    <w:pPr>
      <w:widowControl w:val="false"/>
      <w:tabs/>
      <w:suppressAutoHyphens w:val="true"/>
      <w:autoSpaceDE w:val="false"/>
    </w:pPr>
    <w:rPr>
      <w:rFonts w:ascii="Arial" w:cs="Arial" w:eastAsia="Arial" w:hAnsi="Arial"/>
      <w:b w:val="false"/>
      <w:bCs w:val="false"/>
      <w:i w:val="false"/>
      <w:iCs w:val="false"/>
      <w:strike w:val="false"/>
      <w:dstrike w:val="false"/>
      <w:color w:val="auto"/>
      <w:position w:val="0"/>
      <w:sz w:val="20"/>
      <w:sz w:val="20"/>
      <w:szCs w:val="20"/>
      <w:u w:val="none"/>
      <w:vertAlign w:val="baseline"/>
      <w:lang w:bidi="hi-IN" w:eastAsia="zh-CN" w:val="ru-RU"/>
    </w:rPr>
  </w:style>
  <w:style w:styleId="style30" w:type="paragraph">
    <w:name w:val="  ConsPlusCell"/>
    <w:next w:val="style0"/>
    <w:pPr>
      <w:widowControl w:val="false"/>
      <w:tabs/>
      <w:suppressAutoHyphens w:val="true"/>
      <w:autoSpaceDE w:val="false"/>
    </w:pPr>
    <w:rPr>
      <w:rFonts w:ascii="Arial" w:cs="Arial" w:eastAsia="Arial" w:hAnsi="Arial"/>
      <w:b w:val="false"/>
      <w:bCs w:val="false"/>
      <w:i w:val="false"/>
      <w:iCs w:val="false"/>
      <w:strike w:val="false"/>
      <w:dstrike w:val="false"/>
      <w:color w:val="auto"/>
      <w:position w:val="0"/>
      <w:sz w:val="20"/>
      <w:sz w:val="20"/>
      <w:szCs w:val="20"/>
      <w:u w:val="none"/>
      <w:vertAlign w:val="baseline"/>
      <w:lang w:bidi="hi-IN" w:eastAsia="zh-CN" w:val="ru-RU"/>
    </w:rPr>
  </w:style>
  <w:style w:styleId="style31" w:type="paragraph">
    <w:name w:val="  ConsPlusNonformat"/>
    <w:next w:val="style0"/>
    <w:pPr>
      <w:widowControl w:val="false"/>
      <w:tabs/>
      <w:suppressAutoHyphens w:val="true"/>
      <w:autoSpaceDE w:val="false"/>
    </w:pPr>
    <w:rPr>
      <w:rFonts w:ascii="Courier New" w:cs="Courier New" w:eastAsia="Courier New" w:hAnsi="Courier New"/>
      <w:b w:val="false"/>
      <w:bCs w:val="false"/>
      <w:i w:val="false"/>
      <w:iCs w:val="false"/>
      <w:strike w:val="false"/>
      <w:dstrike w:val="false"/>
      <w:color w:val="auto"/>
      <w:position w:val="0"/>
      <w:sz w:val="20"/>
      <w:sz w:val="20"/>
      <w:szCs w:val="20"/>
      <w:u w:val="none"/>
      <w:vertAlign w:val="baseline"/>
      <w:lang w:bidi="hi-IN" w:eastAsia="zh-CN" w:val="ru-RU"/>
    </w:rPr>
  </w:style>
  <w:style w:styleId="style32" w:type="paragraph">
    <w:name w:val="  ConsPlusTitle"/>
    <w:next w:val="style0"/>
    <w:pPr>
      <w:widowControl w:val="false"/>
      <w:tabs/>
      <w:suppressAutoHyphens w:val="true"/>
      <w:autoSpaceDE w:val="false"/>
    </w:pPr>
    <w:rPr>
      <w:rFonts w:ascii="Arial" w:cs="Arial" w:eastAsia="Arial" w:hAnsi="Arial"/>
      <w:b/>
      <w:bCs/>
      <w:i w:val="false"/>
      <w:iCs w:val="false"/>
      <w:strike w:val="false"/>
      <w:dstrike w:val="false"/>
      <w:color w:val="auto"/>
      <w:position w:val="0"/>
      <w:sz w:val="20"/>
      <w:sz w:val="20"/>
      <w:szCs w:val="20"/>
      <w:u w:val="none"/>
      <w:vertAlign w:val="baseline"/>
      <w:lang w:bidi="hi-IN" w:eastAsia="zh-CN" w:val="ru-RU"/>
    </w:rPr>
  </w:style>
  <w:style w:styleId="style33" w:type="paragraph">
    <w:name w:val="Содержимое врезки"/>
    <w:basedOn w:val="style25"/>
    <w:next w:val="style33"/>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872EB3699934740435C64D9F589D2CF5ACBE91AF7AAE3BE426860456CC713EADDC68D2D8A9BC0C10sDKAM" TargetMode="External"/><Relationship Id="rId3" Type="http://schemas.openxmlformats.org/officeDocument/2006/relationships/hyperlink" Target="consultantplus://offline/ref=DAAD108CE984D85F4231CA1D5C04B6508576E2CDD8FD58BBD3849116335BFD8873EB816E6EF587E7p9NFM" TargetMode="External"/><Relationship Id="rId4" Type="http://schemas.openxmlformats.org/officeDocument/2006/relationships/hyperlink" Target="consultantplus://offline/ref=DAAD108CE984D85F4231CA1D5C04B6508576E2CDD8FD58BBD3849116335BFD8873EB816E6EF586EEp9NCM" TargetMode="External"/><Relationship Id="rId5" Type="http://schemas.openxmlformats.org/officeDocument/2006/relationships/hyperlink" Target="consultantplus://offline/ref=93DC5427D600D4334D36969A803563653B089E7B5FB64B49DC99777CD0BC4B619EAF00DE72A1A293gCQAM"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2067068</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2016-04-27T14:31:09.00Z</dcterms:created>
  <cp:lastPrinted>2016-06-15T14:37:00.00Z</cp:lastPrinted>
  <cp:revision>0</cp:revision>
</cp:coreProperties>
</file>