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B16" w:rsidRPr="00783B16" w:rsidRDefault="00783B16" w:rsidP="00783B16">
      <w:pPr>
        <w:spacing w:before="100" w:beforeAutospacing="1" w:after="100" w:afterAutospacing="1" w:line="240" w:lineRule="auto"/>
        <w:outlineLvl w:val="0"/>
        <w:rPr>
          <w:rFonts w:ascii="Arial CYR" w:eastAsia="Times New Roman" w:hAnsi="Arial CYR" w:cs="Arial CYR"/>
          <w:b/>
          <w:bCs/>
          <w:color w:val="800000"/>
          <w:kern w:val="36"/>
          <w:sz w:val="36"/>
          <w:szCs w:val="36"/>
          <w:lang w:eastAsia="ru-RU"/>
        </w:rPr>
      </w:pPr>
      <w:bookmarkStart w:id="0" w:name="_GoBack"/>
      <w:bookmarkEnd w:id="0"/>
      <w:r w:rsidRPr="00783B16">
        <w:rPr>
          <w:rFonts w:ascii="Arial" w:eastAsia="Times New Roman" w:hAnsi="Arial" w:cs="Arial"/>
          <w:b/>
          <w:bCs/>
          <w:color w:val="800000"/>
          <w:kern w:val="36"/>
          <w:sz w:val="27"/>
          <w:szCs w:val="27"/>
          <w:lang w:eastAsia="ru-RU"/>
        </w:rPr>
        <w:t>Когда можно выбирать/изменять способ управления</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505"/>
      </w:tblGrid>
      <w:tr w:rsidR="00783B16" w:rsidRPr="00783B16" w:rsidTr="00783B16">
        <w:trPr>
          <w:tblCellSpacing w:w="0" w:type="dxa"/>
        </w:trPr>
        <w:tc>
          <w:tcPr>
            <w:tcW w:w="5000" w:type="pct"/>
            <w:shd w:val="clear" w:color="auto" w:fill="FFFFFF"/>
            <w:hideMark/>
          </w:tcPr>
          <w:p w:rsidR="00783B16" w:rsidRPr="00783B16" w:rsidRDefault="00783B16" w:rsidP="00783B16">
            <w:pPr>
              <w:spacing w:before="30" w:after="150" w:line="240" w:lineRule="auto"/>
              <w:ind w:left="30" w:right="30"/>
              <w:rPr>
                <w:rFonts w:ascii="Times New Roman" w:eastAsia="Times New Roman" w:hAnsi="Times New Roman" w:cs="Times New Roman"/>
                <w:color w:val="000000"/>
                <w:sz w:val="27"/>
                <w:szCs w:val="27"/>
                <w:lang w:eastAsia="ru-RU"/>
              </w:rPr>
            </w:pPr>
            <w:r w:rsidRPr="00783B16">
              <w:rPr>
                <w:rFonts w:ascii="Arial CYR" w:eastAsia="Times New Roman" w:hAnsi="Arial CYR" w:cs="Arial CYR"/>
                <w:i/>
                <w:iCs/>
                <w:color w:val="000000"/>
                <w:sz w:val="17"/>
                <w:szCs w:val="17"/>
                <w:lang w:eastAsia="ru-RU"/>
              </w:rPr>
              <w:t>В действиях администрации города выявлено нарушение ФЗ "О защите конкуренции", выразившееся в принятии решения об отмене конкурса по отбору управляющей организации. В удовлетворении требования отказано, поскольку лица, принявшие участие в общих собраниях о выборе способа управления домом, на момент их проведения не подтвердили право собственности на помещения, решение участников собраний нельзя признать правомерным, основания для отмены начатого конкурса отсутствовали</w:t>
            </w:r>
          </w:p>
          <w:p w:rsidR="00783B16" w:rsidRPr="00783B16" w:rsidRDefault="00783B16" w:rsidP="00783B16">
            <w:pPr>
              <w:spacing w:before="100" w:beforeAutospacing="1" w:after="100" w:afterAutospacing="1" w:line="240" w:lineRule="auto"/>
              <w:ind w:left="30" w:right="30"/>
              <w:rPr>
                <w:rFonts w:ascii="Times New Roman" w:eastAsia="Times New Roman" w:hAnsi="Times New Roman" w:cs="Times New Roman"/>
                <w:color w:val="000000"/>
                <w:sz w:val="27"/>
                <w:szCs w:val="27"/>
                <w:lang w:eastAsia="ru-RU"/>
              </w:rPr>
            </w:pPr>
            <w:r w:rsidRPr="00783B16">
              <w:rPr>
                <w:rFonts w:ascii="Times New Roman" w:eastAsia="Times New Roman" w:hAnsi="Times New Roman" w:cs="Times New Roman"/>
                <w:color w:val="000000"/>
                <w:sz w:val="27"/>
                <w:szCs w:val="27"/>
                <w:lang w:eastAsia="ru-RU"/>
              </w:rPr>
              <w:t> </w:t>
            </w:r>
          </w:p>
          <w:p w:rsidR="00783B16" w:rsidRPr="00783B16" w:rsidRDefault="00783B16" w:rsidP="00783B16">
            <w:pPr>
              <w:spacing w:before="100" w:beforeAutospacing="1" w:after="100" w:afterAutospacing="1" w:line="240" w:lineRule="auto"/>
              <w:ind w:left="30" w:right="30"/>
              <w:rPr>
                <w:rFonts w:ascii="Times New Roman" w:eastAsia="Times New Roman" w:hAnsi="Times New Roman" w:cs="Times New Roman"/>
                <w:color w:val="000000"/>
                <w:sz w:val="27"/>
                <w:szCs w:val="27"/>
                <w:lang w:eastAsia="ru-RU"/>
              </w:rPr>
            </w:pPr>
            <w:r w:rsidRPr="00783B16">
              <w:rPr>
                <w:rFonts w:ascii="Arial CYR" w:eastAsia="Times New Roman" w:hAnsi="Arial CYR" w:cs="Arial CYR"/>
                <w:color w:val="000000"/>
                <w:sz w:val="17"/>
                <w:szCs w:val="17"/>
                <w:lang w:eastAsia="ru-RU"/>
              </w:rPr>
              <w:t>ФЕДЕРАЛЬНЫЙ АРБИТРАЖНЫЙ СУД СЕВЕРО-ЗАПАДНОГО ОКРУГА</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ПОСТАНОВЛЕНИЕ</w:t>
            </w:r>
            <w:r w:rsidRPr="00783B16">
              <w:rPr>
                <w:rFonts w:ascii="Arial CYR" w:eastAsia="Times New Roman" w:hAnsi="Arial CYR" w:cs="Arial CYR"/>
                <w:color w:val="000000"/>
                <w:sz w:val="17"/>
                <w:szCs w:val="17"/>
                <w:lang w:eastAsia="ru-RU"/>
              </w:rPr>
              <w:br/>
              <w:t>от 8 апреля 2014 г. по делу № А56-34764/2013</w:t>
            </w:r>
          </w:p>
          <w:p w:rsidR="00783B16" w:rsidRPr="00783B16" w:rsidRDefault="00783B16" w:rsidP="00783B16">
            <w:pPr>
              <w:spacing w:before="100" w:beforeAutospacing="1" w:after="100" w:afterAutospacing="1" w:line="240" w:lineRule="auto"/>
              <w:ind w:left="30" w:right="30"/>
              <w:rPr>
                <w:rFonts w:ascii="Times New Roman" w:eastAsia="Times New Roman" w:hAnsi="Times New Roman" w:cs="Times New Roman"/>
                <w:color w:val="000000"/>
                <w:sz w:val="27"/>
                <w:szCs w:val="27"/>
                <w:lang w:eastAsia="ru-RU"/>
              </w:rPr>
            </w:pPr>
            <w:r w:rsidRPr="00783B16">
              <w:rPr>
                <w:rFonts w:ascii="Arial CYR" w:eastAsia="Times New Roman" w:hAnsi="Arial CYR" w:cs="Arial CYR"/>
                <w:color w:val="000000"/>
                <w:sz w:val="17"/>
                <w:szCs w:val="17"/>
                <w:lang w:eastAsia="ru-RU"/>
              </w:rPr>
              <w:br/>
              <w:t>Федеральный арбитражный суд Северо-Западного округа ...</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установил:</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 xml:space="preserve">Администрация муниципального образования "Город Всеволожск" Всеволожского муниципального района Ленинградской области, место нахождения: 188640, Ленинградская обл., г. Всеволожск, </w:t>
            </w:r>
            <w:proofErr w:type="spellStart"/>
            <w:r w:rsidRPr="00783B16">
              <w:rPr>
                <w:rFonts w:ascii="Arial CYR" w:eastAsia="Times New Roman" w:hAnsi="Arial CYR" w:cs="Arial CYR"/>
                <w:color w:val="000000"/>
                <w:sz w:val="17"/>
                <w:szCs w:val="17"/>
                <w:lang w:eastAsia="ru-RU"/>
              </w:rPr>
              <w:t>Колтушское</w:t>
            </w:r>
            <w:proofErr w:type="spellEnd"/>
            <w:r w:rsidRPr="00783B16">
              <w:rPr>
                <w:rFonts w:ascii="Arial CYR" w:eastAsia="Times New Roman" w:hAnsi="Arial CYR" w:cs="Arial CYR"/>
                <w:color w:val="000000"/>
                <w:sz w:val="17"/>
                <w:szCs w:val="17"/>
                <w:lang w:eastAsia="ru-RU"/>
              </w:rPr>
              <w:t xml:space="preserve"> шоссе, д. 138, ОГРН 1054700123543 (далее - АМО "Город Всеволожск", Администрация), обратилась в Арбитражный суд города Санкт-Петербурга и Ленинградской области с заявлением, уточненным в порядке статьи 49 Арбитражного процессуального кодекса Российской Федерации (далее - АПК РФ), к Управлению Федеральной антимонопольной службы по Ленинградской области, место нахождения: 191124, Санкт-Петербург, ул. Смольного, д. 3, ОГРН 1089847323026 (далее - Управление, УФАС), о признании недействительными пунктов 1, 2 и 4 решения и предписания от 05.06.2013, принятых УФАС по результатам рассмотрения жалобы общества с ограниченной ответственностью "Универсальный страж", место нахождения: 197136, Санкт-Петербург, ул. Всеволода Вишневского, д. 4, оф. 6, ОГРН 1097847264954 (далее - Общество, ООО "Универсальный страж").</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 xml:space="preserve">К участию в деле в качестве третьих лиц, не заявляющих самостоятельных требований относительно предмета спора, привлечены: общество с ограниченной ответственностью "Управляющая компания "Норма-Дом", место нахождения: 194156, Санкт-Петербург, </w:t>
            </w:r>
            <w:proofErr w:type="spellStart"/>
            <w:r w:rsidRPr="00783B16">
              <w:rPr>
                <w:rFonts w:ascii="Arial CYR" w:eastAsia="Times New Roman" w:hAnsi="Arial CYR" w:cs="Arial CYR"/>
                <w:color w:val="000000"/>
                <w:sz w:val="17"/>
                <w:szCs w:val="17"/>
                <w:lang w:eastAsia="ru-RU"/>
              </w:rPr>
              <w:t>Сердобольская</w:t>
            </w:r>
            <w:proofErr w:type="spellEnd"/>
            <w:r w:rsidRPr="00783B16">
              <w:rPr>
                <w:rFonts w:ascii="Arial CYR" w:eastAsia="Times New Roman" w:hAnsi="Arial CYR" w:cs="Arial CYR"/>
                <w:color w:val="000000"/>
                <w:sz w:val="17"/>
                <w:szCs w:val="17"/>
                <w:lang w:eastAsia="ru-RU"/>
              </w:rPr>
              <w:t xml:space="preserve"> ул., д. 2В, лит. "А", ОГРН 1089847186054 (далее - ООО "УК "Норма-Дом") и ООО "Универсальный страж</w:t>
            </w:r>
            <w:proofErr w:type="gramStart"/>
            <w:r w:rsidRPr="00783B16">
              <w:rPr>
                <w:rFonts w:ascii="Arial CYR" w:eastAsia="Times New Roman" w:hAnsi="Arial CYR" w:cs="Arial CYR"/>
                <w:color w:val="000000"/>
                <w:sz w:val="17"/>
                <w:szCs w:val="17"/>
                <w:lang w:eastAsia="ru-RU"/>
              </w:rPr>
              <w:t>".</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Решением</w:t>
            </w:r>
            <w:proofErr w:type="gramEnd"/>
            <w:r w:rsidRPr="00783B16">
              <w:rPr>
                <w:rFonts w:ascii="Arial CYR" w:eastAsia="Times New Roman" w:hAnsi="Arial CYR" w:cs="Arial CYR"/>
                <w:color w:val="000000"/>
                <w:sz w:val="17"/>
                <w:szCs w:val="17"/>
                <w:lang w:eastAsia="ru-RU"/>
              </w:rPr>
              <w:t xml:space="preserve"> суда первой инстанции от 11.10.2013, оставленным без изменения постановлением апелляционного суда от 20.01.2014, требования Администрации удовлетворены.</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В кассационной жалобе Управление, ссылаясь на несоответствие выводов двух судебных инстанций фактическим обстоятельствам дела, просит эти судебные акты отменить и принять новый - об отказе в удовлетворении заявленного требования в полном объеме. По мнению УФАС, у заявителя не имелось оснований для отказа в проведении конкурса по выбору управляющей компании путем принятия Администрацией решения об отмене этого конкурса. Податель жалобы считает, что представленные в материалы дела протоколы собраний граждан по вопросам выбора способа управления многоквартирным домом, не являющихся при этом собственниками помещений указанного дома, не являются надлежащими документами, а потому не могут порождать правовые последствия как по отмене рассматриваемого спорного конкурса, так и по заключению спорных договоров управления с управляющей компанией, выбранной этими гражданами. Кроме того, антимонопольный орган полагает, что сам отказ Администрации в проведении конкурса оформлен ненадлежащим образом и поэтому не порождает правовых последствий. Также Управление считает, что судами двух инстанций не дана оценка признакам ничтожности представленных в дело договоров ввиду их заключения ранее даты самих проведенных собраний.</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В судебном заседании представители УФАС поддержали доводы, приведенные в кассационной жалобе.</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Иные лица, участвующие в деле, надлежащим образом извещены о месте и времени рассмотрения кассационной жалобы, однако в судебное заседание своих представителей не направили. В соответствии с нормами части 3 статьи 284 АПК РФ дело рассмотрено в их отсутствие.</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Отзывы на кассационную жалобу также не представлены.</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Законность обжалуемых судебных актов проверена в кассационном порядке.</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Как следует из материалов дела и установлено судами первой и апелляционной инстанций, Администрацией было принято решение о проведении открытого конкурса по отбору управляющей организации для управления многоквартирными домами, расположенными по адресам: Ленинградская обл., Всеволожский р-н, г. Всеволожск, Взлетная ул., д. 12, корп. 2, 3, 4 и 5. Извещение о проведении открытого конкурса 16.04.2013 размещено на сайте http://torgi.gov.ru.</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 xml:space="preserve">Заявки на участие в конкурсе поступили от трех обществ с ограниченной ответственностью "Управляющая </w:t>
            </w:r>
            <w:r w:rsidRPr="00783B16">
              <w:rPr>
                <w:rFonts w:ascii="Arial CYR" w:eastAsia="Times New Roman" w:hAnsi="Arial CYR" w:cs="Arial CYR"/>
                <w:color w:val="000000"/>
                <w:sz w:val="17"/>
                <w:szCs w:val="17"/>
                <w:lang w:eastAsia="ru-RU"/>
              </w:rPr>
              <w:lastRenderedPageBreak/>
              <w:t>компания "Доверие", "Управляющая компания "Созидание" и "Универсальный страж".</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27.05.2013 (во время процедуры рассмотрения указанных заявок) в Администрацию поступило обращение от ООО "УК "Норма-Дом" о том, что собственники многоквартирных домов, расположенных вышеупомянутым адресам, уже выбрали способ управления и управляющую компанию в лице ООО "УК "Норма-Дом" (том 1, лист 121).</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К указанному обращению были приложены протоколы общего собрания собственников жилых помещений многоквартирных домов, расположенных по названным адресам: г. Всеволожск, Взлетная ул., д. 12, корп. 2, 3, 4 и 5 (том 1, листы 122 - 124, 142 - 144, 164 - 166, 187 - 189), а также договоры управления спорными многоквартирными домами, заключенные 05.03.2013 и 06.05.2013 между председателями совета МЖИ и ООО "УК "Норма-Дом" (том 1, листы 125 - 132, 145 - 152, 167 - 174).</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На основании представленных ООО "УК "Норма-Дом" документов Администрацией было принято решение об отказе от проведения конкурса на основании пункта 39 "Правил проведения открытого конкурса по отбору управляющей организации", утвержденных постановлением Правительства Российской Федерации от 06.02.2006 N 75 (далее - Правила N 75).</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Не согласившись с законностью указанного решения, ООО "Универсальный страж" обратилось с жалобой в антимонопольный орган.</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По результатам рассмотрения данного заявления Управлением 05.06.2013 принято решение, согласно которому жалоба ООО "Универсальный страж" была признана обоснованной (пункт 1 решения УФАС); Управление указало также на необходимость выдачи в адрес Администрации предписания об отмене протокола от 27.05.2013 рассмотрения заявок на участие в открытом конкурсе по отбору управляющей организации для управления названными многоквартирными домами и о продолжении проведения конкурса (пункт 2 того же решения). В действиях Администрации УФАС установило нарушение требований части 1 статьи 15 и части 2 статьи 17 Федерального закона от 26.07.2006 N 135-ФЗ "О защите конкуренции" (далее - Закон N 135-ФЗ), выразившееся в принятии решения об отмене конкурса по отбору управляющей организации для управления многоквартирными домами по указанным выше адресам (пункты 3 и 4 спорного решения).</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Заявителю было выдано оспариваемое им предписание от 05.06.2013, которым Управление обязало Администрацию прекратить нарушение антимонопольного законодательства путем отмены в срок до 14.06.2013 упомянутого выше протокола от 27.05.2013 рассмотрения заявок на участие в открытом конкурсе по отбору управляющей организации для управления многоквартирными домами; путем опубликования информации об отмене протокола и о новой дате рассмотрения заявок и проведения конкурса на сайте http://torgi.gov.ru; путем направления уведомления об отмене протокола и о новой дате рассмотрения заявок и проведения конкурса в адрес всех участников, подавших заявки на участие в конкурсе; путем продолжения процедуры проведения конкурса в установленном законом сроке и порядке.</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Не согласившись с пунктами 1, 2 и 4 указанного решения, а также с предписанием антимонопольного органа, Администрация обратилась в арбитражный суд с настоящим заявлением. Пункт 3 решения УФАС от 05.06.2013, которым в действиях АМО "Город Всеволожск" установлено нарушение требований части 1 статьи 15 Закона N 135-ФЗ, заявителем не оспаривался.</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Суд первой инстанции удовлетворил заявленные требования в полном объеме, так как посчитал, что у Администрации имелись основания для отказа в проведении конкурса по выбору управляющей компании в отношении многоквартирных домов, расположенных по адресам: г. Всеволожск, Взлетная ул., д. 12, корп. 2, 3, 4 и 5 ввиду того, что ООО "УК "Норма-Дом" представило протоколы общего собрания собственников этих жилых помещений, проведенного в форме заочного голосования по вопросам выбора способа управления, а также договоры управления данными многоквартирными домами, заключенные между председателями совета многоквартирных домов и ООО "УК "Норма-Дом".</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Суд апелляционной инстанции поддержал указанные выводы суда первой инстанции, оставив вынесенное решение без изменения.</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shd w:val="clear" w:color="auto" w:fill="FFFFCC"/>
                <w:lang w:eastAsia="ru-RU"/>
              </w:rPr>
              <w:t>Кассационная инстанция, изучив материалы дела и проверив правильность применения судами норм материального и процессуального права, считает обжалуемые судебные акты подлежащими отмене по следующим основаниям.</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В соответствии с частью 2 статьи 17 Закона N 135-ФЗ наряду с установленными частью 1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Обязанность по выбору управляющей организации для управления многоквартирным домом возложена на органы местного самоуправления положениями статьи 161 Жилищного кодекса Российской Федерации (далее - ЖК РФ). Указанной нормой определены: условия возникновения такой обязанности (части 4 и 13 статьи 161 ЖК РФ); способ отбора управляющей организации (открытый конкурс); сроки исполнения установленной обязанности.</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lastRenderedPageBreak/>
              <w:t>Порядок организации и проведения органом местного самоуправления открытого конкурса по отбору управляющей организации для управления многоквартирным домом установлен вышеупомянутыми Правилами N 75.</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Пунктом 39 Правил N 75 установлено, что в случае, если до дня проведения конкурса собственники помещений в многоквартирном доме выбрали способ управления многоквартирным домом или реализовали решение о выборе способа управления этим домом, конкурс не проводится. Отказ от проведения конкурса по иным основаниям не допускается.</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Оценивая правомерность действий Администрации по принятию спорного решения об отказе от проведения конкурса на основании пункта 39 Правил N 75 и признавая факт отсутствия зарегистрированного права собственности (со стороны участников долевого строительства) на жилые помещения в указанных многоквартирных домах, суды двух инстанций сделали вывод о том, что "в случае возникновения права собственности на жилое помещение на основании договора долевого участия в строительстве дольщик фактически владеет и пользуется вновь созданным объектом недвижимости с момента подписания акта приема-передачи помещения в доме, с этого момента у него в силу пункта 6 части 2 статьи 153 ЖК РФ возникает обязанность оплачивать плату за жилое помещение и коммунальные услуги, которой, по смыслу жилищного законодательства, корреспондирует право выбрать способ управления многоквартирным домом и управляющую организацию".</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Однако данный вывод судов не согласуется с прямым указанием положений частей 13 и 14 статьи 161 ЖК РФ, которые регламентируют строго установленный порядок управления вновь возведенными многоквартирными домами (с момента ввода объекта в эксплуатацию до момента реализации собственниками жилых помещений права на выбор способа управления многоквартирным домом, установленного частью 3 статьи 161 ЖК РФ).</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Так, частью 13 статьи 161 ЖК РФ (в редакции Федерального закона от 05.04.2013 N 38-ФЗ) установлено, что в течение двадцати дней (в течение десяти рабочих дней - в предыдущей редакции)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частью 4 настоящей статьи открытый конкурс.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в порядке, установленном статьей 445 Гражданского кодекса Российской Федерации (далее - ГК РФ).</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Согласно части 14 статьи 161 ЖК РФ (в редакции Федерального закона от 05.04.2013 N 38-ФЗ)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проведенного в соответствии с частью 13 настоящей статьи, управление многоквартирным домом осуществляется застройщиком при условии его соответствия стандартам и правилам деятельности по управлению многоквартирными домами, установленным в соответствии с настоящей статьей Правительством Российской Федерации, или управляющей организацией, с которой застройщиком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b/>
                <w:bCs/>
                <w:color w:val="FF0000"/>
                <w:sz w:val="17"/>
                <w:szCs w:val="17"/>
                <w:lang w:eastAsia="ru-RU"/>
              </w:rPr>
              <w:t>В силу пункта 6 части 2 статьи 153 ЖК РФ лица, принявшие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обязаны своевременно и полностью вносить плату за жилое помещение и коммунальные услуги</w:t>
            </w:r>
            <w:r w:rsidRPr="00783B16">
              <w:rPr>
                <w:rFonts w:ascii="Arial CYR" w:eastAsia="Times New Roman" w:hAnsi="Arial CYR" w:cs="Arial CYR"/>
                <w:b/>
                <w:bCs/>
                <w:color w:val="000000"/>
                <w:sz w:val="17"/>
                <w:szCs w:val="17"/>
                <w:lang w:eastAsia="ru-RU"/>
              </w:rPr>
              <w:t>.</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Из содержания вышеуказанных норм права усматривается, что лица, поименованные в пункте 6 части 2 статьи 153 ЖК РФ, исполняют свою обязанность по оплате жилых помещений и коммунальных услуг через организацию, управляющую многоквартирным домом на основании части 13 или части 14 статьи 161 ЖК РФ.</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 xml:space="preserve">Из анализа положений статей 44, 45, 47 и 48, а также частей 2 и 3 статьи 161, статей 162 и 164 ЖК РФ следует, </w:t>
            </w:r>
            <w:r w:rsidRPr="00783B16">
              <w:rPr>
                <w:rFonts w:ascii="Arial CYR" w:eastAsia="Times New Roman" w:hAnsi="Arial CYR" w:cs="Arial CYR"/>
                <w:b/>
                <w:color w:val="FF0000"/>
                <w:sz w:val="24"/>
                <w:szCs w:val="24"/>
                <w:u w:val="single"/>
                <w:lang w:eastAsia="ru-RU"/>
              </w:rPr>
              <w:t>что правом на принятие решения по выбору способа управления многоквартирным домом и его реализацию наделены только собственники помещений в многоквартирном доме</w:t>
            </w:r>
            <w:r w:rsidRPr="00783B16">
              <w:rPr>
                <w:rFonts w:ascii="Arial CYR" w:eastAsia="Times New Roman" w:hAnsi="Arial CYR" w:cs="Arial CYR"/>
                <w:color w:val="000000"/>
                <w:sz w:val="17"/>
                <w:szCs w:val="17"/>
                <w:lang w:eastAsia="ru-RU"/>
              </w:rPr>
              <w:t xml:space="preserve">. В свою очередь в силу статьи 18 ЖК РФ и статьи 219 ГК РФ, а также статей 4 и 23 Федерального закона от 21.07.1997 N 122-ФЗ "О государственной регистрации прав на недвижимое имущество и сделок с ним", </w:t>
            </w:r>
            <w:r w:rsidRPr="00783B16">
              <w:rPr>
                <w:rFonts w:ascii="Arial CYR" w:eastAsia="Times New Roman" w:hAnsi="Arial CYR" w:cs="Arial CYR"/>
                <w:b/>
                <w:color w:val="000000"/>
                <w:sz w:val="17"/>
                <w:szCs w:val="17"/>
                <w:lang w:eastAsia="ru-RU"/>
              </w:rPr>
              <w:t>право собственности на помещения в многоквартирном доме возникает с момента государственной регистрации такого права</w:t>
            </w:r>
            <w:r w:rsidRPr="00783B16">
              <w:rPr>
                <w:rFonts w:ascii="Arial CYR" w:eastAsia="Times New Roman" w:hAnsi="Arial CYR" w:cs="Arial CYR"/>
                <w:color w:val="000000"/>
                <w:sz w:val="17"/>
                <w:szCs w:val="17"/>
                <w:lang w:eastAsia="ru-RU"/>
              </w:rPr>
              <w:t>.</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b/>
                <w:bCs/>
                <w:color w:val="FF0000"/>
                <w:sz w:val="17"/>
                <w:szCs w:val="17"/>
                <w:shd w:val="clear" w:color="auto" w:fill="FFFFCC"/>
                <w:lang w:eastAsia="ru-RU"/>
              </w:rPr>
              <w:t>Материалы рассматриваемого настоящего дела не содержат сведений о наличии зарегистрированного права собственности на помещения в спорных многоквартирных жилых домах. Данное обстоятельство установлено судами двух инстанций и признано всеми участниками арбитражного процесса.</w:t>
            </w:r>
            <w:r w:rsidRPr="00783B16">
              <w:rPr>
                <w:rFonts w:ascii="Arial CYR" w:eastAsia="Times New Roman" w:hAnsi="Arial CYR" w:cs="Arial CYR"/>
                <w:color w:val="FF0000"/>
                <w:sz w:val="17"/>
                <w:szCs w:val="17"/>
                <w:lang w:eastAsia="ru-RU"/>
              </w:rPr>
              <w:br/>
            </w:r>
            <w:r w:rsidRPr="00783B16">
              <w:rPr>
                <w:rFonts w:ascii="Arial CYR" w:eastAsia="Times New Roman" w:hAnsi="Arial CYR" w:cs="Arial CYR"/>
                <w:color w:val="FF0000"/>
                <w:sz w:val="17"/>
                <w:szCs w:val="17"/>
                <w:lang w:eastAsia="ru-RU"/>
              </w:rPr>
              <w:br/>
            </w:r>
            <w:r w:rsidRPr="00783B16">
              <w:rPr>
                <w:rFonts w:ascii="Arial CYR" w:eastAsia="Times New Roman" w:hAnsi="Arial CYR" w:cs="Arial CYR"/>
                <w:b/>
                <w:bCs/>
                <w:color w:val="FF0000"/>
                <w:sz w:val="17"/>
                <w:szCs w:val="17"/>
                <w:shd w:val="clear" w:color="auto" w:fill="FFFFCC"/>
                <w:lang w:eastAsia="ru-RU"/>
              </w:rPr>
              <w:t xml:space="preserve">Поскольку лица, принявшие участие в общих собраниях, решения которых оформлены протоколами от 06.03.2013 и от 06.05.2013, на момент проведения данных собраний не обладали документами, подтверждающими право собственности на эти жилые помещения, то решение участников собраний о выборе ими способа управления, оформленное вышеуказанными спорными протоколами, нельзя </w:t>
            </w:r>
            <w:r w:rsidRPr="00783B16">
              <w:rPr>
                <w:rFonts w:ascii="Arial CYR" w:eastAsia="Times New Roman" w:hAnsi="Arial CYR" w:cs="Arial CYR"/>
                <w:b/>
                <w:bCs/>
                <w:color w:val="FF0000"/>
                <w:sz w:val="17"/>
                <w:szCs w:val="17"/>
                <w:shd w:val="clear" w:color="auto" w:fill="FFFFCC"/>
                <w:lang w:eastAsia="ru-RU"/>
              </w:rPr>
              <w:lastRenderedPageBreak/>
              <w:t>признать правомерным решением собственников помещений указанных многоквартирных жилых домов по смыслу, придаваемому ему положениями статьи 161 ЖК РФ.</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Поскольку на момент проведения конкурса по выбору управляющей организации сам способ определения управления спорными многоквартирными жилыми домами в установленном законом порядке еще не состоялся, то у Администрации отсутствовали правовые основания для принятия решения об отмене начатого конкурса по отбору управляющей компании для управления многоквартирными домами по адресам: г. Всеволожск, Взлетная ул., д. 12, корп. 2, 3, 4 и 5.</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Ввиду изложенного действия Администрации противоречили требованиям ЖК РФ и пункту 39 Правил N 75, что свидетельствует о нарушении заявителем части 2 статьи 17 закона N 135-ФЗ.</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Неправильное применение судами норм материального права согласно статье 288 АПК РФ является основанием для отмены решения от 11.10.2013 и постановления апелляционного суда от 20.01.2014, вынесенных по делу N А56-34764/2013.</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Поскольку судами первой и апелляционной инстанций уже установлены фактические обстоятельства дела, кассационному суду не требуется устанавливать новые обстоятельства и оценивать дополнительные документы. Отмена судебных актов по настоящему делу связана с неправильным применением судами норм материального права, в связи с чем суд кассационной инстанции в соответствии с пунктом 2 части 1 статьи 287 АПК РФ находит возможным, не направляя дело на новое рассмотрение, отменить вынесенные по делу решение и постановление, а также принять новый судебный акт - об отказе Администрации в удовлетворении заявленных требований.</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Руководствуясь статьями 286, 287, 288 и 289 Арбитражного процессуального кодекса Российской Федерации, Федеральный арбитражный суд Северо-Западного округа</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постановил:</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решение Арбитражного суда города Санкт-Петербурга и Ленинградской области от 11.10.2013 и постановление Тринадцатого арбитражного апелляционного суда от 20.01.2014 по делу N А56-34764/2013 отменить.</w:t>
            </w:r>
            <w:r w:rsidRPr="00783B16">
              <w:rPr>
                <w:rFonts w:ascii="Arial CYR" w:eastAsia="Times New Roman" w:hAnsi="Arial CYR" w:cs="Arial CYR"/>
                <w:color w:val="000000"/>
                <w:sz w:val="17"/>
                <w:szCs w:val="17"/>
                <w:lang w:eastAsia="ru-RU"/>
              </w:rPr>
              <w:br/>
            </w:r>
            <w:r w:rsidRPr="00783B16">
              <w:rPr>
                <w:rFonts w:ascii="Arial CYR" w:eastAsia="Times New Roman" w:hAnsi="Arial CYR" w:cs="Arial CYR"/>
                <w:color w:val="000000"/>
                <w:sz w:val="17"/>
                <w:szCs w:val="17"/>
                <w:lang w:eastAsia="ru-RU"/>
              </w:rPr>
              <w:br/>
              <w:t>В удовлетворении заявленного требования администрации муниципального образования "Город Всеволожск" Всеволожского муниципального района Ленинградской области отказать.</w:t>
            </w:r>
          </w:p>
        </w:tc>
      </w:tr>
    </w:tbl>
    <w:p w:rsidR="00045805" w:rsidRDefault="00045805"/>
    <w:sectPr w:rsidR="000458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B16"/>
    <w:rsid w:val="00045805"/>
    <w:rsid w:val="00783B16"/>
    <w:rsid w:val="00BE273D"/>
    <w:rsid w:val="00E53B78"/>
    <w:rsid w:val="00E75E07"/>
    <w:rsid w:val="00E87C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EFD6C3-3EDC-4931-A30B-B6C69B833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72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2678</Words>
  <Characters>15267</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Новый город</dc:creator>
  <cp:lastModifiedBy>User</cp:lastModifiedBy>
  <cp:revision>2</cp:revision>
  <dcterms:created xsi:type="dcterms:W3CDTF">2015-10-06T13:06:00Z</dcterms:created>
  <dcterms:modified xsi:type="dcterms:W3CDTF">2015-10-06T13:06:00Z</dcterms:modified>
</cp:coreProperties>
</file>